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4311D8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31DCD">
        <w:rPr>
          <w:rFonts w:cs="Arial"/>
          <w:bCs/>
          <w:sz w:val="28"/>
        </w:rPr>
        <w:t>#103</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A1447D" w:rsidRPr="0011601D">
        <w:rPr>
          <w:rFonts w:eastAsia="MS Mincho" w:cs="Arial"/>
          <w:bCs/>
          <w:sz w:val="28"/>
          <w:szCs w:val="24"/>
          <w:lang w:val="en-US"/>
        </w:rPr>
        <w:t>R1-200</w:t>
      </w:r>
      <w:r w:rsidR="00605237">
        <w:rPr>
          <w:rFonts w:eastAsia="MS Mincho" w:cs="Arial"/>
          <w:bCs/>
          <w:sz w:val="28"/>
          <w:szCs w:val="24"/>
          <w:lang w:val="en-US"/>
        </w:rPr>
        <w:t>9304</w:t>
      </w:r>
    </w:p>
    <w:p w14:paraId="6D9A9A80" w14:textId="03E50D00" w:rsidR="006517D0" w:rsidRPr="0011601D" w:rsidRDefault="00331DC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sidR="006A1D99">
        <w:rPr>
          <w:rFonts w:cs="Arial"/>
          <w:bCs/>
          <w:sz w:val="28"/>
        </w:rPr>
        <w:t>–</w:t>
      </w:r>
      <w:r>
        <w:rPr>
          <w:rFonts w:cs="Arial"/>
          <w:bCs/>
          <w:sz w:val="28"/>
        </w:rPr>
        <w:t>November 13</w:t>
      </w:r>
      <w:r w:rsidRPr="00C9253E">
        <w:rPr>
          <w:rFonts w:cs="Arial"/>
          <w:bCs/>
          <w:sz w:val="28"/>
          <w:vertAlign w:val="superscript"/>
        </w:rPr>
        <w:t>th</w:t>
      </w:r>
      <w:r w:rsidR="00A1447D" w:rsidRPr="0011601D">
        <w:rPr>
          <w:rFonts w:cs="Arial"/>
          <w:bCs/>
          <w:sz w:val="28"/>
        </w:rPr>
        <w:t>, 202</w:t>
      </w:r>
      <w:r w:rsidR="004F402C" w:rsidRPr="0011601D">
        <w:rPr>
          <w:rFonts w:cs="Arial"/>
          <w:bCs/>
          <w:sz w:val="28"/>
        </w:rPr>
        <w:t>0</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0B45A625"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C11F85">
        <w:rPr>
          <w:rFonts w:cs="Arial"/>
          <w:bCs/>
          <w:sz w:val="28"/>
          <w:szCs w:val="24"/>
          <w:lang w:val="en-US" w:eastAsia="zh-TW"/>
        </w:rPr>
        <w:t>1</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5FEB44CA"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735E52">
        <w:rPr>
          <w:rFonts w:cs="Arial"/>
          <w:bCs/>
          <w:sz w:val="28"/>
          <w:szCs w:val="24"/>
          <w:lang w:val="en-US" w:eastAsia="zh-TW"/>
        </w:rPr>
        <w:t xml:space="preserve">8.15.2  </w:t>
      </w:r>
      <w:r w:rsidR="00CF51D6">
        <w:rPr>
          <w:rFonts w:cs="Arial"/>
          <w:bCs/>
          <w:sz w:val="28"/>
          <w:szCs w:val="24"/>
          <w:lang w:val="en-US" w:eastAsia="zh-TW"/>
        </w:rPr>
        <w:t>IoT NTN Scenarios</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6B7E36D2" w:rsidR="00FC197A" w:rsidRPr="00F838C8" w:rsidRDefault="006C53DC" w:rsidP="00021B7D">
      <w:pPr>
        <w:pStyle w:val="BodyText"/>
      </w:pPr>
      <w:r w:rsidRPr="006C53DC">
        <w:t>At the RAN#86 meeting, a new Study Item was approved for IoT Non Terrestrial Network (NTN) [1]. In this contribution, we</w:t>
      </w:r>
      <w:r w:rsidR="006224DB">
        <w:t xml:space="preserve"> provide link budget analysis for C/N for DL and UL using two satellite system parameter sets. We considered </w:t>
      </w:r>
      <w:r w:rsidR="00532AEB">
        <w:t>NB-IoT and eMTC in the analysis</w:t>
      </w:r>
      <w:r w:rsidR="006224DB">
        <w:t xml:space="preserve">.  </w:t>
      </w:r>
      <w:r w:rsidR="004F402C" w:rsidRPr="00F838C8">
        <w:t xml:space="preserve"> </w:t>
      </w:r>
    </w:p>
    <w:p w14:paraId="1A38FBB9" w14:textId="77777777" w:rsidR="00984413" w:rsidRPr="0011601D" w:rsidRDefault="00984413" w:rsidP="005934C4">
      <w:pPr>
        <w:pStyle w:val="BodyText"/>
        <w:rPr>
          <w:rFonts w:ascii="Arial" w:hAnsi="Arial" w:cs="Arial"/>
          <w:lang w:eastAsia="ko-KR"/>
        </w:rPr>
      </w:pPr>
      <w:bookmarkStart w:id="2" w:name="_Ref481671177"/>
    </w:p>
    <w:p w14:paraId="28ADDE77" w14:textId="1183F360" w:rsidR="00CE2F70" w:rsidRDefault="00FA7C69" w:rsidP="006C4883">
      <w:pPr>
        <w:pStyle w:val="Heading1"/>
        <w:rPr>
          <w:rFonts w:cs="Arial"/>
        </w:rPr>
      </w:pPr>
      <w:r>
        <w:rPr>
          <w:rFonts w:cs="Arial"/>
        </w:rPr>
        <w:t xml:space="preserve">IoT NTN Scenarios </w:t>
      </w:r>
    </w:p>
    <w:p w14:paraId="2653914B" w14:textId="53DEC2D4" w:rsidR="006C53DC" w:rsidRDefault="006C53DC" w:rsidP="006C53DC">
      <w:pPr>
        <w:rPr>
          <w:lang w:eastAsia="x-none"/>
        </w:rPr>
      </w:pPr>
      <w:r>
        <w:rPr>
          <w:lang w:eastAsia="x-none"/>
        </w:rPr>
        <w:t xml:space="preserve">IoT NTN scenarios are discussed in a separate agenda item. The main focus for RAN1 is the link budget analysis based on FDD, transparent payload, and frequency band below 6 GHz. The bands of interest on access link are the L band and S band. </w:t>
      </w:r>
      <w:r w:rsidR="00A47F89">
        <w:rPr>
          <w:lang w:eastAsia="x-none"/>
        </w:rPr>
        <w:t xml:space="preserve">Two sets of parameters </w:t>
      </w:r>
      <w:r>
        <w:rPr>
          <w:lang w:eastAsia="x-none"/>
        </w:rPr>
        <w:t xml:space="preserve">for </w:t>
      </w:r>
      <w:r w:rsidRPr="00FD3BE5">
        <w:rPr>
          <w:lang w:eastAsia="x-none"/>
        </w:rPr>
        <w:t>link budget calculations</w:t>
      </w:r>
      <w:r>
        <w:rPr>
          <w:lang w:eastAsia="x-none"/>
        </w:rPr>
        <w:t xml:space="preserve"> </w:t>
      </w:r>
      <w:r w:rsidR="00A47F89">
        <w:rPr>
          <w:lang w:eastAsia="x-none"/>
        </w:rPr>
        <w:t xml:space="preserve">for NB-IoT NTN based on </w:t>
      </w:r>
      <w:r>
        <w:rPr>
          <w:lang w:eastAsia="x-none"/>
        </w:rPr>
        <w:t>[3</w:t>
      </w:r>
      <w:r w:rsidR="00A47F89">
        <w:rPr>
          <w:lang w:eastAsia="x-none"/>
        </w:rPr>
        <w:t>, 4</w:t>
      </w:r>
      <w:r>
        <w:rPr>
          <w:lang w:eastAsia="x-none"/>
        </w:rPr>
        <w:t>]</w:t>
      </w:r>
      <w:r w:rsidR="00A47F89">
        <w:rPr>
          <w:lang w:eastAsia="x-none"/>
        </w:rPr>
        <w:t xml:space="preserve"> </w:t>
      </w:r>
      <w:r w:rsidRPr="006C53DC">
        <w:rPr>
          <w:lang w:eastAsia="x-none"/>
        </w:rPr>
        <w:t>are considered.</w:t>
      </w:r>
      <w:r>
        <w:rPr>
          <w:lang w:eastAsia="x-none"/>
        </w:rPr>
        <w:t xml:space="preserve"> </w:t>
      </w:r>
      <w:r w:rsidR="00A47F89">
        <w:rPr>
          <w:lang w:eastAsia="x-none"/>
        </w:rPr>
        <w:t xml:space="preserve">We denote these sets of parameters as Set 3 and Set 4 based on Feature Lead recommendations in [5]. </w:t>
      </w:r>
    </w:p>
    <w:p w14:paraId="64BE58E1" w14:textId="29C376EC" w:rsidR="00C9243D" w:rsidRDefault="00A47F89" w:rsidP="006C4883">
      <w:pPr>
        <w:rPr>
          <w:lang w:eastAsia="x-none"/>
        </w:rPr>
      </w:pPr>
      <w:r>
        <w:rPr>
          <w:lang w:eastAsia="x-none"/>
        </w:rPr>
        <w:t xml:space="preserve">The link budget analysis aim to </w:t>
      </w:r>
      <w:r w:rsidR="006C53DC">
        <w:rPr>
          <w:lang w:eastAsia="x-none"/>
        </w:rPr>
        <w:t xml:space="preserve">identify </w:t>
      </w:r>
      <w:r>
        <w:rPr>
          <w:lang w:eastAsia="x-none"/>
        </w:rPr>
        <w:t xml:space="preserve">whether assumption for IoT NTN satellite with </w:t>
      </w:r>
      <w:r w:rsidR="006C53DC">
        <w:rPr>
          <w:lang w:eastAsia="x-none"/>
        </w:rPr>
        <w:t xml:space="preserve">low EIRP and low G/T </w:t>
      </w:r>
      <w:r>
        <w:rPr>
          <w:lang w:eastAsia="x-none"/>
        </w:rPr>
        <w:t xml:space="preserve">can be compatible with a </w:t>
      </w:r>
      <w:r w:rsidR="006C53DC">
        <w:rPr>
          <w:lang w:eastAsia="x-none"/>
        </w:rPr>
        <w:t xml:space="preserve">reasonable working C/N on the DL and UL </w:t>
      </w:r>
      <w:r>
        <w:rPr>
          <w:lang w:eastAsia="x-none"/>
        </w:rPr>
        <w:t>to allow typical</w:t>
      </w:r>
      <w:r w:rsidR="006C53DC">
        <w:rPr>
          <w:lang w:eastAsia="x-none"/>
        </w:rPr>
        <w:t xml:space="preserve"> IoT NTN operations.</w:t>
      </w:r>
      <w:r>
        <w:rPr>
          <w:lang w:eastAsia="x-none"/>
        </w:rPr>
        <w:t xml:space="preserve"> W</w:t>
      </w:r>
      <w:r w:rsidR="00C9243D">
        <w:rPr>
          <w:lang w:eastAsia="x-none"/>
        </w:rPr>
        <w:t xml:space="preserve">e show the </w:t>
      </w:r>
      <w:r>
        <w:rPr>
          <w:lang w:eastAsia="x-none"/>
        </w:rPr>
        <w:t xml:space="preserve">list of cases for link budget in Table 1. The corresponding </w:t>
      </w:r>
      <w:r w:rsidR="00C9243D">
        <w:rPr>
          <w:lang w:eastAsia="x-none"/>
        </w:rPr>
        <w:t xml:space="preserve">C/N values for DL and UL for NB-IoT </w:t>
      </w:r>
      <w:r>
        <w:rPr>
          <w:lang w:eastAsia="x-none"/>
        </w:rPr>
        <w:t>are shown in Table 2</w:t>
      </w:r>
      <w:r w:rsidR="00C9243D">
        <w:rPr>
          <w:lang w:eastAsia="x-none"/>
        </w:rPr>
        <w:t xml:space="preserve">. </w:t>
      </w:r>
      <w:r>
        <w:rPr>
          <w:lang w:eastAsia="x-none"/>
        </w:rPr>
        <w:t xml:space="preserve">The assumptions for the free space path loss, atmospheric loss, shadow fading margin, scintillation loss, and polarisation loss are shown in </w:t>
      </w:r>
      <w:r w:rsidR="00910EF8">
        <w:rPr>
          <w:lang w:eastAsia="x-none"/>
        </w:rPr>
        <w:t xml:space="preserve">Table 3 in </w:t>
      </w:r>
      <w:r>
        <w:rPr>
          <w:lang w:eastAsia="x-none"/>
        </w:rPr>
        <w:t xml:space="preserve">ANNEX. </w:t>
      </w:r>
    </w:p>
    <w:p w14:paraId="63FA577B" w14:textId="77777777" w:rsidR="00F14B73" w:rsidRDefault="00F14B73" w:rsidP="006C4883">
      <w:pPr>
        <w:rPr>
          <w:lang w:eastAsia="x-none"/>
        </w:rPr>
      </w:pPr>
    </w:p>
    <w:tbl>
      <w:tblPr>
        <w:tblStyle w:val="TableGrid"/>
        <w:tblW w:w="0" w:type="auto"/>
        <w:tblLook w:val="04A0" w:firstRow="1" w:lastRow="0" w:firstColumn="1" w:lastColumn="0" w:noHBand="0" w:noVBand="1"/>
      </w:tblPr>
      <w:tblGrid>
        <w:gridCol w:w="846"/>
        <w:gridCol w:w="1417"/>
        <w:gridCol w:w="1418"/>
        <w:gridCol w:w="2126"/>
        <w:gridCol w:w="992"/>
        <w:gridCol w:w="1560"/>
        <w:gridCol w:w="992"/>
      </w:tblGrid>
      <w:tr w:rsidR="00A47F89" w14:paraId="0D09A6C5" w14:textId="77777777" w:rsidTr="00A47F89">
        <w:tc>
          <w:tcPr>
            <w:tcW w:w="846" w:type="dxa"/>
            <w:shd w:val="clear" w:color="auto" w:fill="C6D9F1" w:themeFill="text2" w:themeFillTint="33"/>
          </w:tcPr>
          <w:p w14:paraId="0B37B31E" w14:textId="2D8E7A4D" w:rsidR="00A47F89" w:rsidRDefault="00A47F89" w:rsidP="006C4883">
            <w:pPr>
              <w:rPr>
                <w:lang w:eastAsia="x-none"/>
              </w:rPr>
            </w:pPr>
            <w:r>
              <w:rPr>
                <w:lang w:eastAsia="x-none"/>
              </w:rPr>
              <w:t>Case</w:t>
            </w:r>
          </w:p>
        </w:tc>
        <w:tc>
          <w:tcPr>
            <w:tcW w:w="1417" w:type="dxa"/>
            <w:shd w:val="clear" w:color="auto" w:fill="C6D9F1" w:themeFill="text2" w:themeFillTint="33"/>
          </w:tcPr>
          <w:p w14:paraId="72DF473C" w14:textId="091A873C" w:rsidR="00A47F89" w:rsidRDefault="00A47F89" w:rsidP="006C4883">
            <w:pPr>
              <w:rPr>
                <w:lang w:eastAsia="x-none"/>
              </w:rPr>
            </w:pPr>
            <w:r>
              <w:rPr>
                <w:lang w:eastAsia="x-none"/>
              </w:rPr>
              <w:t>Satellite orbit</w:t>
            </w:r>
          </w:p>
        </w:tc>
        <w:tc>
          <w:tcPr>
            <w:tcW w:w="1418" w:type="dxa"/>
            <w:shd w:val="clear" w:color="auto" w:fill="C6D9F1" w:themeFill="text2" w:themeFillTint="33"/>
          </w:tcPr>
          <w:p w14:paraId="7ABCB19E" w14:textId="1EF9F863" w:rsidR="00A47F89" w:rsidRDefault="00A47F89" w:rsidP="006C4883">
            <w:pPr>
              <w:rPr>
                <w:lang w:eastAsia="x-none"/>
              </w:rPr>
            </w:pPr>
            <w:r>
              <w:rPr>
                <w:lang w:eastAsia="x-none"/>
              </w:rPr>
              <w:t>Parameter Set</w:t>
            </w:r>
          </w:p>
        </w:tc>
        <w:tc>
          <w:tcPr>
            <w:tcW w:w="2126" w:type="dxa"/>
            <w:shd w:val="clear" w:color="auto" w:fill="C6D9F1" w:themeFill="text2" w:themeFillTint="33"/>
          </w:tcPr>
          <w:p w14:paraId="33F6FF19" w14:textId="71D23435" w:rsidR="00A47F89" w:rsidRDefault="00A47F89" w:rsidP="006C4883">
            <w:pPr>
              <w:rPr>
                <w:lang w:eastAsia="x-none"/>
              </w:rPr>
            </w:pPr>
            <w:r>
              <w:rPr>
                <w:lang w:eastAsia="x-none"/>
              </w:rPr>
              <w:t>Central beam elevation</w:t>
            </w:r>
          </w:p>
        </w:tc>
        <w:tc>
          <w:tcPr>
            <w:tcW w:w="992" w:type="dxa"/>
            <w:shd w:val="clear" w:color="auto" w:fill="C6D9F1" w:themeFill="text2" w:themeFillTint="33"/>
          </w:tcPr>
          <w:p w14:paraId="25A52FEF" w14:textId="63B30C14" w:rsidR="00A47F89" w:rsidRDefault="00A47F89" w:rsidP="006C4883">
            <w:pPr>
              <w:rPr>
                <w:lang w:eastAsia="x-none"/>
              </w:rPr>
            </w:pPr>
            <w:r>
              <w:rPr>
                <w:lang w:eastAsia="x-none"/>
              </w:rPr>
              <w:t>Terminal</w:t>
            </w:r>
          </w:p>
        </w:tc>
        <w:tc>
          <w:tcPr>
            <w:tcW w:w="1560" w:type="dxa"/>
            <w:shd w:val="clear" w:color="auto" w:fill="C6D9F1" w:themeFill="text2" w:themeFillTint="33"/>
          </w:tcPr>
          <w:p w14:paraId="4D2CB319" w14:textId="3A5B8639" w:rsidR="00A47F89" w:rsidRDefault="00A47F89" w:rsidP="006C4883">
            <w:pPr>
              <w:rPr>
                <w:lang w:eastAsia="x-none"/>
              </w:rPr>
            </w:pPr>
            <w:r>
              <w:rPr>
                <w:lang w:eastAsia="x-none"/>
              </w:rPr>
              <w:t>Frequency band</w:t>
            </w:r>
          </w:p>
        </w:tc>
        <w:tc>
          <w:tcPr>
            <w:tcW w:w="992" w:type="dxa"/>
            <w:shd w:val="clear" w:color="auto" w:fill="C6D9F1" w:themeFill="text2" w:themeFillTint="33"/>
          </w:tcPr>
          <w:p w14:paraId="46DFA6AA" w14:textId="64391C82" w:rsidR="00A47F89" w:rsidRDefault="00A47F89" w:rsidP="006C4883">
            <w:pPr>
              <w:rPr>
                <w:lang w:eastAsia="x-none"/>
              </w:rPr>
            </w:pPr>
            <w:r>
              <w:rPr>
                <w:lang w:eastAsia="x-none"/>
              </w:rPr>
              <w:t>RAT</w:t>
            </w:r>
          </w:p>
        </w:tc>
      </w:tr>
      <w:tr w:rsidR="00A47F89" w14:paraId="0E4E4512" w14:textId="77777777" w:rsidTr="00A47F89">
        <w:tc>
          <w:tcPr>
            <w:tcW w:w="846" w:type="dxa"/>
          </w:tcPr>
          <w:p w14:paraId="464F9355" w14:textId="7E07A554" w:rsidR="00A47F89" w:rsidRDefault="00A47F89" w:rsidP="00A47F89">
            <w:pPr>
              <w:rPr>
                <w:lang w:eastAsia="x-none"/>
              </w:rPr>
            </w:pPr>
            <w:r>
              <w:rPr>
                <w:lang w:eastAsia="x-none"/>
              </w:rPr>
              <w:t>1</w:t>
            </w:r>
          </w:p>
        </w:tc>
        <w:tc>
          <w:tcPr>
            <w:tcW w:w="1417" w:type="dxa"/>
          </w:tcPr>
          <w:p w14:paraId="75D3ED75" w14:textId="30A6871A" w:rsidR="00A47F89" w:rsidRDefault="00A47F89" w:rsidP="00A47F89">
            <w:pPr>
              <w:rPr>
                <w:lang w:eastAsia="x-none"/>
              </w:rPr>
            </w:pPr>
            <w:r>
              <w:rPr>
                <w:lang w:eastAsia="x-none"/>
              </w:rPr>
              <w:t>GEO</w:t>
            </w:r>
          </w:p>
        </w:tc>
        <w:tc>
          <w:tcPr>
            <w:tcW w:w="1418" w:type="dxa"/>
          </w:tcPr>
          <w:p w14:paraId="5E498994" w14:textId="75A263E4" w:rsidR="00A47F89" w:rsidRDefault="00A47F89" w:rsidP="00A47F89">
            <w:pPr>
              <w:rPr>
                <w:lang w:eastAsia="x-none"/>
              </w:rPr>
            </w:pPr>
            <w:r>
              <w:rPr>
                <w:lang w:eastAsia="x-none"/>
              </w:rPr>
              <w:t>Set 3</w:t>
            </w:r>
          </w:p>
        </w:tc>
        <w:tc>
          <w:tcPr>
            <w:tcW w:w="2126" w:type="dxa"/>
          </w:tcPr>
          <w:p w14:paraId="462FD825" w14:textId="45FF7CA1" w:rsidR="00A47F89" w:rsidRDefault="00A47F89" w:rsidP="00A47F89">
            <w:pPr>
              <w:rPr>
                <w:lang w:eastAsia="x-none"/>
              </w:rPr>
            </w:pPr>
            <w:r>
              <w:rPr>
                <w:lang w:eastAsia="x-none"/>
              </w:rPr>
              <w:t>12.5 deg</w:t>
            </w:r>
          </w:p>
        </w:tc>
        <w:tc>
          <w:tcPr>
            <w:tcW w:w="992" w:type="dxa"/>
          </w:tcPr>
          <w:p w14:paraId="3483D411" w14:textId="4689ADF0" w:rsidR="00A47F89" w:rsidRDefault="00A47F89" w:rsidP="00A47F89">
            <w:pPr>
              <w:rPr>
                <w:lang w:eastAsia="x-none"/>
              </w:rPr>
            </w:pPr>
            <w:r>
              <w:rPr>
                <w:lang w:eastAsia="x-none"/>
              </w:rPr>
              <w:t>CIoT</w:t>
            </w:r>
          </w:p>
        </w:tc>
        <w:tc>
          <w:tcPr>
            <w:tcW w:w="1560" w:type="dxa"/>
          </w:tcPr>
          <w:p w14:paraId="406B54BC" w14:textId="53B1EC7F" w:rsidR="00A47F89" w:rsidRDefault="00A47F89" w:rsidP="00A47F89">
            <w:pPr>
              <w:rPr>
                <w:lang w:eastAsia="x-none"/>
              </w:rPr>
            </w:pPr>
            <w:r>
              <w:rPr>
                <w:lang w:eastAsia="x-none"/>
              </w:rPr>
              <w:t>S-band</w:t>
            </w:r>
          </w:p>
        </w:tc>
        <w:tc>
          <w:tcPr>
            <w:tcW w:w="992" w:type="dxa"/>
          </w:tcPr>
          <w:p w14:paraId="709E91DA" w14:textId="07584068" w:rsidR="00A47F89" w:rsidRDefault="00A47F89" w:rsidP="00A47F89">
            <w:pPr>
              <w:rPr>
                <w:lang w:eastAsia="x-none"/>
              </w:rPr>
            </w:pPr>
            <w:r>
              <w:rPr>
                <w:lang w:eastAsia="x-none"/>
              </w:rPr>
              <w:t>NB-IoT</w:t>
            </w:r>
          </w:p>
        </w:tc>
      </w:tr>
      <w:tr w:rsidR="00A47F89" w14:paraId="4912EB8C" w14:textId="77777777" w:rsidTr="00A47F89">
        <w:tc>
          <w:tcPr>
            <w:tcW w:w="846" w:type="dxa"/>
          </w:tcPr>
          <w:p w14:paraId="6BBC742A" w14:textId="065E7C42" w:rsidR="00A47F89" w:rsidRDefault="00A47F89" w:rsidP="00A47F89">
            <w:pPr>
              <w:rPr>
                <w:lang w:eastAsia="x-none"/>
              </w:rPr>
            </w:pPr>
            <w:r>
              <w:rPr>
                <w:lang w:eastAsia="x-none"/>
              </w:rPr>
              <w:t>2</w:t>
            </w:r>
          </w:p>
        </w:tc>
        <w:tc>
          <w:tcPr>
            <w:tcW w:w="1417" w:type="dxa"/>
          </w:tcPr>
          <w:p w14:paraId="37C16B0A" w14:textId="4A4B402F" w:rsidR="00A47F89" w:rsidRDefault="00A47F89" w:rsidP="00A47F89">
            <w:pPr>
              <w:rPr>
                <w:lang w:eastAsia="x-none"/>
              </w:rPr>
            </w:pPr>
            <w:r>
              <w:rPr>
                <w:lang w:eastAsia="x-none"/>
              </w:rPr>
              <w:t>LEO-600 km</w:t>
            </w:r>
          </w:p>
        </w:tc>
        <w:tc>
          <w:tcPr>
            <w:tcW w:w="1418" w:type="dxa"/>
          </w:tcPr>
          <w:p w14:paraId="12343B2C" w14:textId="1CB5B43B" w:rsidR="00A47F89" w:rsidRDefault="00A47F89" w:rsidP="00A47F89">
            <w:pPr>
              <w:rPr>
                <w:lang w:eastAsia="x-none"/>
              </w:rPr>
            </w:pPr>
            <w:r>
              <w:rPr>
                <w:lang w:eastAsia="x-none"/>
              </w:rPr>
              <w:t>Set 3</w:t>
            </w:r>
          </w:p>
        </w:tc>
        <w:tc>
          <w:tcPr>
            <w:tcW w:w="2126" w:type="dxa"/>
          </w:tcPr>
          <w:p w14:paraId="78CEC6F8" w14:textId="755CF611" w:rsidR="00A47F89" w:rsidRDefault="00A47F89" w:rsidP="00A47F89">
            <w:pPr>
              <w:rPr>
                <w:lang w:eastAsia="x-none"/>
              </w:rPr>
            </w:pPr>
            <w:r>
              <w:rPr>
                <w:lang w:eastAsia="x-none"/>
              </w:rPr>
              <w:t>30 deg</w:t>
            </w:r>
          </w:p>
        </w:tc>
        <w:tc>
          <w:tcPr>
            <w:tcW w:w="992" w:type="dxa"/>
          </w:tcPr>
          <w:p w14:paraId="2FB41CF1" w14:textId="574521D2" w:rsidR="00A47F89" w:rsidRDefault="00A47F89" w:rsidP="00A47F89">
            <w:pPr>
              <w:rPr>
                <w:lang w:eastAsia="x-none"/>
              </w:rPr>
            </w:pPr>
            <w:r>
              <w:rPr>
                <w:lang w:eastAsia="x-none"/>
              </w:rPr>
              <w:t>CIoT</w:t>
            </w:r>
          </w:p>
        </w:tc>
        <w:tc>
          <w:tcPr>
            <w:tcW w:w="1560" w:type="dxa"/>
          </w:tcPr>
          <w:p w14:paraId="2BC72557" w14:textId="78C38D63" w:rsidR="00A47F89" w:rsidRDefault="00A47F89" w:rsidP="00A47F89">
            <w:pPr>
              <w:rPr>
                <w:lang w:eastAsia="x-none"/>
              </w:rPr>
            </w:pPr>
            <w:r>
              <w:rPr>
                <w:lang w:eastAsia="x-none"/>
              </w:rPr>
              <w:t>S-band</w:t>
            </w:r>
          </w:p>
        </w:tc>
        <w:tc>
          <w:tcPr>
            <w:tcW w:w="992" w:type="dxa"/>
          </w:tcPr>
          <w:p w14:paraId="11F041A4" w14:textId="193485ED" w:rsidR="00A47F89" w:rsidRDefault="00A47F89" w:rsidP="00A47F89">
            <w:pPr>
              <w:rPr>
                <w:lang w:eastAsia="x-none"/>
              </w:rPr>
            </w:pPr>
            <w:r>
              <w:rPr>
                <w:lang w:eastAsia="x-none"/>
              </w:rPr>
              <w:t>NB-IoT</w:t>
            </w:r>
          </w:p>
        </w:tc>
      </w:tr>
      <w:tr w:rsidR="00A47F89" w14:paraId="1AE607EC" w14:textId="77777777" w:rsidTr="00A47F89">
        <w:tc>
          <w:tcPr>
            <w:tcW w:w="846" w:type="dxa"/>
          </w:tcPr>
          <w:p w14:paraId="75E331D2" w14:textId="71D1A373" w:rsidR="00A47F89" w:rsidRDefault="00A47F89" w:rsidP="00A47F89">
            <w:pPr>
              <w:rPr>
                <w:lang w:eastAsia="x-none"/>
              </w:rPr>
            </w:pPr>
            <w:r>
              <w:rPr>
                <w:lang w:eastAsia="x-none"/>
              </w:rPr>
              <w:t>3</w:t>
            </w:r>
          </w:p>
        </w:tc>
        <w:tc>
          <w:tcPr>
            <w:tcW w:w="1417" w:type="dxa"/>
          </w:tcPr>
          <w:p w14:paraId="27FB4EEF" w14:textId="06A2CD30" w:rsidR="00A47F89" w:rsidRDefault="00A47F89" w:rsidP="00A47F89">
            <w:pPr>
              <w:rPr>
                <w:lang w:eastAsia="x-none"/>
              </w:rPr>
            </w:pPr>
            <w:r>
              <w:rPr>
                <w:lang w:eastAsia="x-none"/>
              </w:rPr>
              <w:t>LEO-600 km</w:t>
            </w:r>
          </w:p>
        </w:tc>
        <w:tc>
          <w:tcPr>
            <w:tcW w:w="1418" w:type="dxa"/>
          </w:tcPr>
          <w:p w14:paraId="6F0FF439" w14:textId="6D0D00D1" w:rsidR="00A47F89" w:rsidRDefault="00A47F89" w:rsidP="00A47F89">
            <w:pPr>
              <w:rPr>
                <w:lang w:eastAsia="x-none"/>
              </w:rPr>
            </w:pPr>
            <w:r>
              <w:rPr>
                <w:lang w:eastAsia="x-none"/>
              </w:rPr>
              <w:t>Set 4</w:t>
            </w:r>
          </w:p>
        </w:tc>
        <w:tc>
          <w:tcPr>
            <w:tcW w:w="2126" w:type="dxa"/>
          </w:tcPr>
          <w:p w14:paraId="521920E6" w14:textId="0A58D241" w:rsidR="00A47F89" w:rsidRDefault="00A47F89" w:rsidP="00A47F89">
            <w:pPr>
              <w:rPr>
                <w:lang w:eastAsia="x-none"/>
              </w:rPr>
            </w:pPr>
            <w:r>
              <w:rPr>
                <w:lang w:eastAsia="x-none"/>
              </w:rPr>
              <w:t>30 deg</w:t>
            </w:r>
          </w:p>
        </w:tc>
        <w:tc>
          <w:tcPr>
            <w:tcW w:w="992" w:type="dxa"/>
          </w:tcPr>
          <w:p w14:paraId="290FEA81" w14:textId="122F6BAE" w:rsidR="00A47F89" w:rsidRDefault="00A47F89" w:rsidP="00A47F89">
            <w:pPr>
              <w:rPr>
                <w:lang w:eastAsia="x-none"/>
              </w:rPr>
            </w:pPr>
            <w:r>
              <w:rPr>
                <w:lang w:eastAsia="x-none"/>
              </w:rPr>
              <w:t>CIoT</w:t>
            </w:r>
          </w:p>
        </w:tc>
        <w:tc>
          <w:tcPr>
            <w:tcW w:w="1560" w:type="dxa"/>
          </w:tcPr>
          <w:p w14:paraId="62A40D42" w14:textId="011415B1" w:rsidR="00A47F89" w:rsidRDefault="00A47F89" w:rsidP="00A47F89">
            <w:pPr>
              <w:rPr>
                <w:lang w:eastAsia="x-none"/>
              </w:rPr>
            </w:pPr>
            <w:r>
              <w:rPr>
                <w:lang w:eastAsia="x-none"/>
              </w:rPr>
              <w:t>S-band</w:t>
            </w:r>
          </w:p>
        </w:tc>
        <w:tc>
          <w:tcPr>
            <w:tcW w:w="992" w:type="dxa"/>
          </w:tcPr>
          <w:p w14:paraId="4A9D983C" w14:textId="0F028461" w:rsidR="00A47F89" w:rsidRDefault="00A47F89" w:rsidP="00A47F89">
            <w:pPr>
              <w:rPr>
                <w:lang w:eastAsia="x-none"/>
              </w:rPr>
            </w:pPr>
            <w:r>
              <w:rPr>
                <w:lang w:eastAsia="x-none"/>
              </w:rPr>
              <w:t>NB-IoT</w:t>
            </w:r>
          </w:p>
        </w:tc>
      </w:tr>
      <w:tr w:rsidR="00A47F89" w14:paraId="5536ACC2" w14:textId="77777777" w:rsidTr="00A47F89">
        <w:tc>
          <w:tcPr>
            <w:tcW w:w="846" w:type="dxa"/>
          </w:tcPr>
          <w:p w14:paraId="05CA9F36" w14:textId="12786AD1" w:rsidR="00A47F89" w:rsidRDefault="00A47F89" w:rsidP="00A47F89">
            <w:pPr>
              <w:rPr>
                <w:lang w:eastAsia="x-none"/>
              </w:rPr>
            </w:pPr>
            <w:r>
              <w:rPr>
                <w:lang w:eastAsia="x-none"/>
              </w:rPr>
              <w:t>4</w:t>
            </w:r>
          </w:p>
        </w:tc>
        <w:tc>
          <w:tcPr>
            <w:tcW w:w="1417" w:type="dxa"/>
          </w:tcPr>
          <w:p w14:paraId="494A901E" w14:textId="2EA651A0" w:rsidR="00A47F89" w:rsidRDefault="00A47F89" w:rsidP="00A47F89">
            <w:pPr>
              <w:rPr>
                <w:lang w:eastAsia="x-none"/>
              </w:rPr>
            </w:pPr>
            <w:r>
              <w:rPr>
                <w:lang w:eastAsia="x-none"/>
              </w:rPr>
              <w:t>LEO-1200 km</w:t>
            </w:r>
          </w:p>
        </w:tc>
        <w:tc>
          <w:tcPr>
            <w:tcW w:w="1418" w:type="dxa"/>
          </w:tcPr>
          <w:p w14:paraId="4C879CE6" w14:textId="26E5520E" w:rsidR="00A47F89" w:rsidRDefault="00A47F89" w:rsidP="00A47F89">
            <w:pPr>
              <w:rPr>
                <w:lang w:eastAsia="x-none"/>
              </w:rPr>
            </w:pPr>
            <w:r>
              <w:rPr>
                <w:lang w:eastAsia="x-none"/>
              </w:rPr>
              <w:t>Set 3</w:t>
            </w:r>
          </w:p>
        </w:tc>
        <w:tc>
          <w:tcPr>
            <w:tcW w:w="2126" w:type="dxa"/>
          </w:tcPr>
          <w:p w14:paraId="099B00C5" w14:textId="0C86C6A2" w:rsidR="00A47F89" w:rsidRDefault="00A47F89" w:rsidP="00A47F89">
            <w:pPr>
              <w:rPr>
                <w:lang w:eastAsia="x-none"/>
              </w:rPr>
            </w:pPr>
            <w:r>
              <w:rPr>
                <w:lang w:eastAsia="x-none"/>
              </w:rPr>
              <w:t>30 deg</w:t>
            </w:r>
          </w:p>
        </w:tc>
        <w:tc>
          <w:tcPr>
            <w:tcW w:w="992" w:type="dxa"/>
          </w:tcPr>
          <w:p w14:paraId="1A79378C" w14:textId="4042A563" w:rsidR="00A47F89" w:rsidRDefault="00A47F89" w:rsidP="00A47F89">
            <w:pPr>
              <w:rPr>
                <w:lang w:eastAsia="x-none"/>
              </w:rPr>
            </w:pPr>
            <w:r>
              <w:rPr>
                <w:lang w:eastAsia="x-none"/>
              </w:rPr>
              <w:t>CIoT</w:t>
            </w:r>
          </w:p>
        </w:tc>
        <w:tc>
          <w:tcPr>
            <w:tcW w:w="1560" w:type="dxa"/>
          </w:tcPr>
          <w:p w14:paraId="3754AF41" w14:textId="7A90CB30" w:rsidR="00A47F89" w:rsidRDefault="00A47F89" w:rsidP="00A47F89">
            <w:pPr>
              <w:rPr>
                <w:lang w:eastAsia="x-none"/>
              </w:rPr>
            </w:pPr>
            <w:r>
              <w:rPr>
                <w:lang w:eastAsia="x-none"/>
              </w:rPr>
              <w:t>S-band</w:t>
            </w:r>
          </w:p>
        </w:tc>
        <w:tc>
          <w:tcPr>
            <w:tcW w:w="992" w:type="dxa"/>
          </w:tcPr>
          <w:p w14:paraId="46D42FB2" w14:textId="6E9D4850" w:rsidR="00A47F89" w:rsidRDefault="00A47F89" w:rsidP="00A47F89">
            <w:pPr>
              <w:rPr>
                <w:lang w:eastAsia="x-none"/>
              </w:rPr>
            </w:pPr>
            <w:r>
              <w:rPr>
                <w:lang w:eastAsia="x-none"/>
              </w:rPr>
              <w:t>NB-IoT</w:t>
            </w:r>
          </w:p>
        </w:tc>
      </w:tr>
    </w:tbl>
    <w:p w14:paraId="4007A937" w14:textId="10BD92FC" w:rsidR="00A47F89" w:rsidRPr="00A47F89" w:rsidRDefault="00A47F89" w:rsidP="00A47F89">
      <w:pPr>
        <w:jc w:val="center"/>
        <w:rPr>
          <w:i/>
          <w:lang w:eastAsia="x-none"/>
        </w:rPr>
      </w:pPr>
      <w:r w:rsidRPr="00A47F89">
        <w:rPr>
          <w:b/>
          <w:i/>
          <w:lang w:eastAsia="x-none"/>
        </w:rPr>
        <w:t>Table 1</w:t>
      </w:r>
      <w:r w:rsidR="00910EF8">
        <w:rPr>
          <w:i/>
          <w:lang w:eastAsia="x-none"/>
        </w:rPr>
        <w:t>: List o</w:t>
      </w:r>
      <w:r w:rsidRPr="00A47F89">
        <w:rPr>
          <w:i/>
          <w:lang w:eastAsia="x-none"/>
        </w:rPr>
        <w:t>f Cases for Link Budget</w:t>
      </w:r>
    </w:p>
    <w:p w14:paraId="6D9169E4" w14:textId="77777777" w:rsidR="003C38BB" w:rsidRPr="00C9243D" w:rsidRDefault="003C38BB" w:rsidP="006C4883">
      <w:pPr>
        <w:rPr>
          <w:i/>
          <w:lang w:eastAsia="x-none"/>
        </w:rPr>
      </w:pPr>
    </w:p>
    <w:tbl>
      <w:tblPr>
        <w:tblStyle w:val="TableGrid"/>
        <w:tblW w:w="0" w:type="auto"/>
        <w:tblInd w:w="-5" w:type="dxa"/>
        <w:tblLook w:val="04A0" w:firstRow="1" w:lastRow="0" w:firstColumn="1" w:lastColumn="0" w:noHBand="0" w:noVBand="1"/>
      </w:tblPr>
      <w:tblGrid>
        <w:gridCol w:w="709"/>
        <w:gridCol w:w="1559"/>
        <w:gridCol w:w="993"/>
        <w:gridCol w:w="992"/>
        <w:gridCol w:w="1134"/>
        <w:gridCol w:w="3939"/>
      </w:tblGrid>
      <w:tr w:rsidR="00586BC7" w14:paraId="27C28026" w14:textId="77777777" w:rsidTr="00586BC7">
        <w:tc>
          <w:tcPr>
            <w:tcW w:w="709" w:type="dxa"/>
            <w:shd w:val="clear" w:color="auto" w:fill="C6D9F1" w:themeFill="text2" w:themeFillTint="33"/>
          </w:tcPr>
          <w:p w14:paraId="00553CEF" w14:textId="12D61AAA" w:rsidR="00A47F89" w:rsidRPr="00C9243D" w:rsidRDefault="00A47F89" w:rsidP="00C9243D">
            <w:pPr>
              <w:rPr>
                <w:lang w:eastAsia="x-none"/>
              </w:rPr>
            </w:pPr>
            <w:r>
              <w:rPr>
                <w:rFonts w:asciiTheme="minorHAnsi" w:eastAsiaTheme="minorEastAsia" w:hAnsi="Calibri Light" w:cstheme="minorBidi"/>
                <w:color w:val="000000" w:themeColor="text1"/>
                <w:kern w:val="24"/>
                <w:szCs w:val="32"/>
              </w:rPr>
              <w:t>Cases</w:t>
            </w:r>
          </w:p>
        </w:tc>
        <w:tc>
          <w:tcPr>
            <w:tcW w:w="1559" w:type="dxa"/>
            <w:shd w:val="clear" w:color="auto" w:fill="C6D9F1" w:themeFill="text2" w:themeFillTint="33"/>
          </w:tcPr>
          <w:p w14:paraId="610F491B" w14:textId="70A7B5F7" w:rsidR="00A47F89" w:rsidRPr="00A47F89" w:rsidRDefault="00586BC7" w:rsidP="00586BC7">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00A47F89">
              <w:rPr>
                <w:rFonts w:asciiTheme="minorHAnsi" w:eastAsiaTheme="minorEastAsia" w:hAnsi="Calibri Light" w:cstheme="minorBidi"/>
                <w:color w:val="000000" w:themeColor="text1"/>
                <w:kern w:val="24"/>
                <w:szCs w:val="32"/>
              </w:rPr>
              <w:t>EIRP Density</w:t>
            </w:r>
            <w:r>
              <w:rPr>
                <w:rFonts w:asciiTheme="minorHAnsi" w:eastAsiaTheme="minorEastAsia" w:hAnsi="Calibri Light" w:cstheme="minorBidi"/>
                <w:color w:val="000000" w:themeColor="text1"/>
                <w:kern w:val="24"/>
                <w:szCs w:val="32"/>
              </w:rPr>
              <w:t xml:space="preserve"> </w:t>
            </w:r>
          </w:p>
        </w:tc>
        <w:tc>
          <w:tcPr>
            <w:tcW w:w="993" w:type="dxa"/>
            <w:shd w:val="clear" w:color="auto" w:fill="C6D9F1" w:themeFill="text2" w:themeFillTint="33"/>
          </w:tcPr>
          <w:p w14:paraId="534F8168" w14:textId="5825A3F4" w:rsidR="00A47F89" w:rsidRPr="00C9243D" w:rsidRDefault="00A47F89" w:rsidP="00C9243D">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shd w:val="clear" w:color="auto" w:fill="C6D9F1" w:themeFill="text2" w:themeFillTint="33"/>
          </w:tcPr>
          <w:p w14:paraId="22747810" w14:textId="572F795B" w:rsidR="00A47F89" w:rsidRPr="00C9243D" w:rsidRDefault="00A47F89" w:rsidP="00C9243D">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692ECB36" w14:textId="75F6DFD7" w:rsidR="00A47F89" w:rsidRPr="00C9243D" w:rsidRDefault="00586BC7" w:rsidP="00C9243D">
            <w:pPr>
              <w:rPr>
                <w:lang w:eastAsia="x-none"/>
              </w:rPr>
            </w:pPr>
            <w:r>
              <w:rPr>
                <w:rFonts w:asciiTheme="minorHAnsi" w:eastAsiaTheme="minorEastAsia" w:hAnsi="Calibri Light" w:cstheme="minorBidi"/>
                <w:color w:val="000000" w:themeColor="text1"/>
                <w:kern w:val="24"/>
                <w:szCs w:val="32"/>
              </w:rPr>
              <w:t xml:space="preserve">      </w:t>
            </w:r>
            <w:r w:rsidR="00A47F89" w:rsidRPr="00C9243D">
              <w:rPr>
                <w:rFonts w:asciiTheme="minorHAnsi" w:eastAsiaTheme="minorEastAsia" w:hAnsi="Calibri Light" w:cstheme="minorBidi"/>
                <w:color w:val="000000" w:themeColor="text1"/>
                <w:kern w:val="24"/>
                <w:szCs w:val="32"/>
              </w:rPr>
              <w:t>G/T</w:t>
            </w:r>
          </w:p>
        </w:tc>
        <w:tc>
          <w:tcPr>
            <w:tcW w:w="3939" w:type="dxa"/>
            <w:shd w:val="clear" w:color="auto" w:fill="C6D9F1" w:themeFill="text2" w:themeFillTint="33"/>
          </w:tcPr>
          <w:p w14:paraId="63E807AA" w14:textId="2B4FFA6D" w:rsidR="00A47F89" w:rsidRDefault="00586BC7" w:rsidP="00C9243D">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00A47F89" w:rsidRPr="00C9243D">
              <w:rPr>
                <w:rFonts w:asciiTheme="minorHAnsi" w:eastAsiaTheme="minorEastAsia" w:hAnsi="Calibri Light" w:cstheme="minorBidi"/>
                <w:color w:val="000000" w:themeColor="text1"/>
                <w:kern w:val="24"/>
                <w:szCs w:val="32"/>
              </w:rPr>
              <w:t>UL C/N</w:t>
            </w:r>
          </w:p>
          <w:p w14:paraId="4336C8CF" w14:textId="68C3BF78" w:rsidR="00A47F89" w:rsidRPr="00C9243D" w:rsidRDefault="00A47F89" w:rsidP="00A47F89">
            <w:pPr>
              <w:rPr>
                <w:lang w:eastAsia="x-none"/>
              </w:rPr>
            </w:pPr>
            <w:r w:rsidRPr="00586BC7">
              <w:rPr>
                <w:rFonts w:asciiTheme="minorHAnsi" w:eastAsiaTheme="minorEastAsia" w:hAnsi="Calibri Light" w:cstheme="minorBidi"/>
                <w:color w:val="000000" w:themeColor="text1"/>
                <w:kern w:val="24"/>
                <w:sz w:val="18"/>
                <w:szCs w:val="32"/>
              </w:rPr>
              <w:t>3.75 kHz / 15 kHz / 3*15 kHz / 6*15 kHz / 180 kHz</w:t>
            </w:r>
          </w:p>
        </w:tc>
      </w:tr>
      <w:tr w:rsidR="00586BC7" w14:paraId="71DA041A" w14:textId="77777777" w:rsidTr="00586BC7">
        <w:tc>
          <w:tcPr>
            <w:tcW w:w="709" w:type="dxa"/>
          </w:tcPr>
          <w:p w14:paraId="6BBAE833" w14:textId="21F96C01" w:rsidR="00A47F89" w:rsidRPr="00C9243D" w:rsidRDefault="00A47F89" w:rsidP="00586BC7">
            <w:pPr>
              <w:jc w:val="center"/>
              <w:rPr>
                <w:lang w:eastAsia="x-none"/>
              </w:rPr>
            </w:pPr>
            <w:r>
              <w:rPr>
                <w:rFonts w:asciiTheme="minorHAnsi" w:eastAsiaTheme="minorEastAsia" w:hAnsi="Calibri Light" w:cstheme="minorBidi"/>
                <w:color w:val="000000" w:themeColor="text1"/>
                <w:kern w:val="24"/>
                <w:szCs w:val="32"/>
              </w:rPr>
              <w:t>1</w:t>
            </w:r>
          </w:p>
        </w:tc>
        <w:tc>
          <w:tcPr>
            <w:tcW w:w="1559" w:type="dxa"/>
          </w:tcPr>
          <w:p w14:paraId="7C6AE7C8" w14:textId="49951ECD" w:rsidR="00A47F89" w:rsidRPr="00586BC7" w:rsidRDefault="00A47F89" w:rsidP="00A47F89">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3" w:type="dxa"/>
          </w:tcPr>
          <w:p w14:paraId="09D567D5" w14:textId="7172D228"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992" w:type="dxa"/>
          </w:tcPr>
          <w:p w14:paraId="2C4ADC38" w14:textId="2C245B75"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1134" w:type="dxa"/>
          </w:tcPr>
          <w:p w14:paraId="4EEF0DDC" w14:textId="000FD748" w:rsidR="00A47F89" w:rsidRPr="00586BC7" w:rsidRDefault="00A47F89" w:rsidP="00C9243D">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939" w:type="dxa"/>
          </w:tcPr>
          <w:p w14:paraId="43F38FA2" w14:textId="66542055"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 xml:space="preserve">0.6 dB / -5.4 dB / -10.2 dB / -13.2 dB / -16.2 dB </w:t>
            </w:r>
          </w:p>
        </w:tc>
      </w:tr>
      <w:tr w:rsidR="00586BC7" w14:paraId="4D795324" w14:textId="77777777" w:rsidTr="00586BC7">
        <w:tc>
          <w:tcPr>
            <w:tcW w:w="709" w:type="dxa"/>
          </w:tcPr>
          <w:p w14:paraId="53DC59DF" w14:textId="18EA6DC8" w:rsidR="00A47F89" w:rsidRPr="00C9243D" w:rsidRDefault="00A47F89" w:rsidP="00586BC7">
            <w:pPr>
              <w:jc w:val="center"/>
              <w:rPr>
                <w:lang w:eastAsia="x-none"/>
              </w:rPr>
            </w:pPr>
            <w:r>
              <w:rPr>
                <w:rFonts w:asciiTheme="minorHAnsi" w:eastAsiaTheme="minorEastAsia" w:hAnsi="Calibri Light" w:cstheme="minorBidi"/>
                <w:color w:val="000000" w:themeColor="text1"/>
                <w:kern w:val="24"/>
                <w:szCs w:val="32"/>
              </w:rPr>
              <w:t>2</w:t>
            </w:r>
          </w:p>
        </w:tc>
        <w:tc>
          <w:tcPr>
            <w:tcW w:w="1559" w:type="dxa"/>
          </w:tcPr>
          <w:p w14:paraId="4770A6BD" w14:textId="45E5066E"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3" w:type="dxa"/>
          </w:tcPr>
          <w:p w14:paraId="36D1FADB" w14:textId="72F273EE"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tcPr>
          <w:p w14:paraId="47B97B9F" w14:textId="5AFCFF10" w:rsidR="00A47F89" w:rsidRPr="00586BC7" w:rsidRDefault="00A47F89" w:rsidP="00C9243D">
            <w:pPr>
              <w:rPr>
                <w:sz w:val="18"/>
                <w:lang w:eastAsia="x-none"/>
              </w:rPr>
            </w:pPr>
            <w:r w:rsidRPr="00586BC7">
              <w:rPr>
                <w:rFonts w:asciiTheme="minorHAnsi" w:eastAsiaTheme="minorEastAsia" w:hAnsi="Calibri Light" w:cstheme="minorBidi"/>
                <w:color w:val="000000" w:themeColor="text1"/>
                <w:kern w:val="24"/>
                <w:sz w:val="18"/>
                <w:szCs w:val="32"/>
              </w:rPr>
              <w:t>-2.1 dB</w:t>
            </w:r>
          </w:p>
        </w:tc>
        <w:tc>
          <w:tcPr>
            <w:tcW w:w="1134" w:type="dxa"/>
          </w:tcPr>
          <w:p w14:paraId="31C8703C" w14:textId="2CABB30A" w:rsidR="00A47F89" w:rsidRPr="00586BC7" w:rsidRDefault="00A47F89" w:rsidP="00C9243D">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71866FBB" w14:textId="14A22FD1" w:rsidR="00A47F89" w:rsidRPr="00586BC7" w:rsidRDefault="002F2309" w:rsidP="00C9243D">
            <w:pPr>
              <w:rPr>
                <w:sz w:val="18"/>
                <w:lang w:eastAsia="x-none"/>
              </w:rPr>
            </w:pPr>
            <w:r>
              <w:rPr>
                <w:rFonts w:asciiTheme="minorHAnsi" w:eastAsiaTheme="minorEastAsia" w:hAnsi="Calibri Light" w:cstheme="minorBidi"/>
                <w:color w:val="000000" w:themeColor="text1"/>
                <w:kern w:val="24"/>
                <w:sz w:val="18"/>
                <w:szCs w:val="32"/>
              </w:rPr>
              <w:t>2.7 dB / -3.4 dB / -8.1 dB / -11.1 dB / -14.1</w:t>
            </w:r>
            <w:r w:rsidR="00A47F89" w:rsidRPr="00586BC7">
              <w:rPr>
                <w:rFonts w:asciiTheme="minorHAnsi" w:eastAsiaTheme="minorEastAsia" w:hAnsi="Calibri Light" w:cstheme="minorBidi"/>
                <w:color w:val="000000" w:themeColor="text1"/>
                <w:kern w:val="24"/>
                <w:sz w:val="18"/>
                <w:szCs w:val="32"/>
              </w:rPr>
              <w:t xml:space="preserve"> dB</w:t>
            </w:r>
          </w:p>
        </w:tc>
      </w:tr>
      <w:tr w:rsidR="00586BC7" w14:paraId="42E61272" w14:textId="77777777" w:rsidTr="00586BC7">
        <w:tc>
          <w:tcPr>
            <w:tcW w:w="709" w:type="dxa"/>
          </w:tcPr>
          <w:p w14:paraId="06AD898A" w14:textId="74824D25" w:rsidR="00A47F89" w:rsidRDefault="00A47F89"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559" w:type="dxa"/>
          </w:tcPr>
          <w:p w14:paraId="4A822FD3" w14:textId="6B71BE04"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44.0 dBW/MHz</w:t>
            </w:r>
          </w:p>
        </w:tc>
        <w:tc>
          <w:tcPr>
            <w:tcW w:w="993" w:type="dxa"/>
          </w:tcPr>
          <w:p w14:paraId="556567AE" w14:textId="05937DCB"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44 dBm</w:t>
            </w:r>
          </w:p>
        </w:tc>
        <w:tc>
          <w:tcPr>
            <w:tcW w:w="992" w:type="dxa"/>
          </w:tcPr>
          <w:p w14:paraId="7F71906F" w14:textId="060FA001" w:rsidR="00A47F89" w:rsidRPr="00586BC7" w:rsidRDefault="002F2309"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-12.0</w:t>
            </w:r>
            <w:r w:rsidR="00A47F89" w:rsidRPr="00586BC7">
              <w:rPr>
                <w:rFonts w:asciiTheme="minorHAnsi" w:eastAsiaTheme="minorEastAsia" w:hAnsi="Calibri Light" w:cstheme="minorBidi"/>
                <w:color w:val="000000" w:themeColor="text1"/>
                <w:kern w:val="24"/>
                <w:sz w:val="18"/>
                <w:szCs w:val="32"/>
              </w:rPr>
              <w:t xml:space="preserve"> dB</w:t>
            </w:r>
          </w:p>
        </w:tc>
        <w:tc>
          <w:tcPr>
            <w:tcW w:w="1134" w:type="dxa"/>
          </w:tcPr>
          <w:p w14:paraId="42BEE9E9" w14:textId="3E7947EB"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31206597" w14:textId="6DB13B44" w:rsidR="00A47F89" w:rsidRPr="00586BC7" w:rsidRDefault="002F2309" w:rsidP="00C9243D">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 / -8.5 dB / -13.2 dB / -16.2 dB / -19.2</w:t>
            </w:r>
            <w:bookmarkStart w:id="3" w:name="_GoBack"/>
            <w:bookmarkEnd w:id="3"/>
            <w:r w:rsidR="00A47F89" w:rsidRPr="00586BC7">
              <w:rPr>
                <w:rFonts w:asciiTheme="minorHAnsi" w:eastAsiaTheme="minorEastAsia" w:hAnsi="Calibri Light" w:cstheme="minorBidi"/>
                <w:color w:val="000000" w:themeColor="text1"/>
                <w:kern w:val="24"/>
                <w:sz w:val="18"/>
                <w:szCs w:val="32"/>
              </w:rPr>
              <w:t xml:space="preserve"> dB</w:t>
            </w:r>
          </w:p>
        </w:tc>
      </w:tr>
      <w:tr w:rsidR="00586BC7" w14:paraId="3CFCB851" w14:textId="77777777" w:rsidTr="00586BC7">
        <w:tc>
          <w:tcPr>
            <w:tcW w:w="709" w:type="dxa"/>
          </w:tcPr>
          <w:p w14:paraId="0F5E68EC" w14:textId="52F330F2" w:rsidR="00A47F89" w:rsidRDefault="00A47F89" w:rsidP="00586BC7">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559" w:type="dxa"/>
          </w:tcPr>
          <w:p w14:paraId="33EBE07B" w14:textId="56155651"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3" w:type="dxa"/>
          </w:tcPr>
          <w:p w14:paraId="012F463A" w14:textId="292E3A6E"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tcPr>
          <w:p w14:paraId="7B0F91BE" w14:textId="7722FE57"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1134" w:type="dxa"/>
          </w:tcPr>
          <w:p w14:paraId="1F5715AB" w14:textId="1B7A50C5"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6AE70D79" w14:textId="5A5A451D" w:rsidR="00A47F89" w:rsidRPr="00586BC7" w:rsidRDefault="00A47F89" w:rsidP="00C9243D">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-2.7 dB / -8.7 dB / -13.5 dB / -16.5 dB / -19.5 dB</w:t>
            </w:r>
          </w:p>
        </w:tc>
      </w:tr>
    </w:tbl>
    <w:p w14:paraId="26B60C38" w14:textId="4C68E612" w:rsidR="00C9243D" w:rsidRPr="00C9243D" w:rsidRDefault="00C9243D" w:rsidP="00C9243D">
      <w:pPr>
        <w:jc w:val="center"/>
        <w:rPr>
          <w:i/>
          <w:lang w:eastAsia="x-none"/>
        </w:rPr>
      </w:pPr>
      <w:r w:rsidRPr="00C9243D">
        <w:rPr>
          <w:b/>
          <w:i/>
          <w:lang w:eastAsia="x-none"/>
        </w:rPr>
        <w:t xml:space="preserve">Table </w:t>
      </w:r>
      <w:r w:rsidR="00A47F89">
        <w:rPr>
          <w:b/>
          <w:i/>
          <w:lang w:eastAsia="x-none"/>
        </w:rPr>
        <w:t>2</w:t>
      </w:r>
      <w:r w:rsidRPr="00C9243D">
        <w:rPr>
          <w:i/>
          <w:lang w:eastAsia="x-none"/>
        </w:rPr>
        <w:t xml:space="preserve">: </w:t>
      </w:r>
      <w:r w:rsidR="00A47F89">
        <w:rPr>
          <w:i/>
          <w:lang w:eastAsia="x-none"/>
        </w:rPr>
        <w:t xml:space="preserve">Link Budget results </w:t>
      </w:r>
    </w:p>
    <w:p w14:paraId="3DE0EE7E" w14:textId="77777777" w:rsidR="00F14B73" w:rsidRDefault="00F14B73" w:rsidP="00C731C5">
      <w:pPr>
        <w:rPr>
          <w:lang w:eastAsia="x-none"/>
        </w:rPr>
      </w:pPr>
    </w:p>
    <w:p w14:paraId="6F49D926" w14:textId="77777777" w:rsidR="00633551" w:rsidRDefault="00ED5575" w:rsidP="00C731C5">
      <w:pPr>
        <w:rPr>
          <w:lang w:eastAsia="x-none"/>
        </w:rPr>
      </w:pPr>
      <w:r>
        <w:rPr>
          <w:lang w:eastAsia="x-none"/>
        </w:rPr>
        <w:lastRenderedPageBreak/>
        <w:t xml:space="preserve">Cellular NB-IoT can support minimum performance requirement </w:t>
      </w:r>
      <w:r w:rsidR="00633551">
        <w:rPr>
          <w:lang w:eastAsia="x-none"/>
        </w:rPr>
        <w:t>as follows:</w:t>
      </w:r>
    </w:p>
    <w:p w14:paraId="03D0769D" w14:textId="77777777" w:rsidR="00633551" w:rsidRDefault="00ED5575" w:rsidP="00ED5575">
      <w:pPr>
        <w:pStyle w:val="ListParagraph"/>
        <w:numPr>
          <w:ilvl w:val="0"/>
          <w:numId w:val="23"/>
        </w:numPr>
        <w:rPr>
          <w:lang w:eastAsia="x-none"/>
        </w:rPr>
      </w:pPr>
      <w:r>
        <w:rPr>
          <w:lang w:eastAsia="x-none"/>
        </w:rPr>
        <w:t xml:space="preserve">NPDSCH and NPDCCH with SNR = -10.2 dB and SNR=-11.4 dB with 256 and 1024 repetitions respectively on non-anchor carrier (TS 36.101 Table 8.12.1.1.2-2 and Table 8.12.2.1.1-1).  </w:t>
      </w:r>
    </w:p>
    <w:p w14:paraId="1F3B4A0C" w14:textId="6F630FF7" w:rsidR="00633551" w:rsidRDefault="00ED5575" w:rsidP="00ED5575">
      <w:pPr>
        <w:pStyle w:val="ListParagraph"/>
        <w:numPr>
          <w:ilvl w:val="0"/>
          <w:numId w:val="23"/>
        </w:numPr>
        <w:rPr>
          <w:lang w:eastAsia="x-none"/>
        </w:rPr>
      </w:pPr>
      <w:r>
        <w:rPr>
          <w:lang w:eastAsia="x-none"/>
        </w:rPr>
        <w:t>NP</w:t>
      </w:r>
      <w:r w:rsidR="00633551">
        <w:rPr>
          <w:lang w:eastAsia="x-none"/>
        </w:rPr>
        <w:t>B</w:t>
      </w:r>
      <w:r>
        <w:rPr>
          <w:lang w:eastAsia="x-none"/>
        </w:rPr>
        <w:t xml:space="preserve">CH can be supported with minimum performance requirement with SNR=-11.5 dB (TS 36.101 Table 8.12.3.1.2.1-1). </w:t>
      </w:r>
    </w:p>
    <w:p w14:paraId="46687A01" w14:textId="77777777" w:rsidR="00633551" w:rsidRDefault="00ED5575" w:rsidP="00ED5575">
      <w:pPr>
        <w:pStyle w:val="ListParagraph"/>
        <w:numPr>
          <w:ilvl w:val="0"/>
          <w:numId w:val="23"/>
        </w:numPr>
        <w:rPr>
          <w:lang w:eastAsia="x-none"/>
        </w:rPr>
      </w:pPr>
      <w:r>
        <w:rPr>
          <w:lang w:eastAsia="x-none"/>
        </w:rPr>
        <w:t xml:space="preserve">NPUSCH Format 1 and NPUSCH Format 2 with SNR = -12.2 dB and SNR=-10.9 dB with 64 repetitions respectively on non-anchor carrier (TS 36.104 Table 8.5.1.1.1-1 and Table 8.5.2.2.1-1).  </w:t>
      </w:r>
    </w:p>
    <w:p w14:paraId="032783E4" w14:textId="311D5B32" w:rsidR="00ED5575" w:rsidRDefault="00ED5575" w:rsidP="00ED5575">
      <w:pPr>
        <w:pStyle w:val="ListParagraph"/>
        <w:numPr>
          <w:ilvl w:val="0"/>
          <w:numId w:val="23"/>
        </w:numPr>
        <w:rPr>
          <w:lang w:eastAsia="x-none"/>
        </w:rPr>
      </w:pPr>
      <w:r>
        <w:rPr>
          <w:lang w:eastAsia="x-none"/>
        </w:rPr>
        <w:t xml:space="preserve">NPRACH can be supported with minimum performance requirement with SNR=-6.8 dB (TS 36.104 Table 8.5.3.2.1-1). </w:t>
      </w:r>
    </w:p>
    <w:p w14:paraId="4EBEC459" w14:textId="45DE8F3D" w:rsidR="00633551" w:rsidRDefault="00633551" w:rsidP="00633551">
      <w:pPr>
        <w:rPr>
          <w:lang w:eastAsia="zh-CN"/>
        </w:rPr>
      </w:pPr>
      <w:r>
        <w:rPr>
          <w:lang w:eastAsia="zh-CN"/>
        </w:rPr>
        <w:t>NPBCH u</w:t>
      </w:r>
      <w:r w:rsidRPr="00633551">
        <w:rPr>
          <w:lang w:eastAsia="zh-CN"/>
        </w:rPr>
        <w:t>ses a fixed schedule with a periodicity of 640 ms and repetitions made within 640 ms.</w:t>
      </w:r>
      <w:r>
        <w:rPr>
          <w:lang w:eastAsia="zh-CN"/>
        </w:rPr>
        <w:t xml:space="preserve"> </w:t>
      </w:r>
      <w:r w:rsidRPr="00633551">
        <w:rPr>
          <w:lang w:eastAsia="zh-CN"/>
        </w:rPr>
        <w:t>The first transmission of the MIB-NB is scheduled in subframe #0 of radio frames for which the SFN mod 64 = 0</w:t>
      </w:r>
      <w:r>
        <w:rPr>
          <w:lang w:eastAsia="zh-CN"/>
        </w:rPr>
        <w:t xml:space="preserve">. </w:t>
      </w:r>
      <w:r w:rsidRPr="00633551">
        <w:rPr>
          <w:lang w:eastAsia="zh-CN"/>
        </w:rPr>
        <w:t>Repetitions are scheduled in subframe #0 of all other radio frames.</w:t>
      </w:r>
      <w:r>
        <w:rPr>
          <w:lang w:eastAsia="zh-CN"/>
        </w:rPr>
        <w:t xml:space="preserve"> </w:t>
      </w:r>
      <w:r w:rsidRPr="00633551">
        <w:rPr>
          <w:lang w:eastAsia="zh-CN"/>
        </w:rPr>
        <w:t>The transmissions are arranged in 8 independently decodable blocks of 80 ms duration</w:t>
      </w:r>
      <w:r>
        <w:rPr>
          <w:lang w:eastAsia="zh-CN"/>
        </w:rPr>
        <w:t>.</w:t>
      </w:r>
      <w:r w:rsidR="00CC0127">
        <w:rPr>
          <w:lang w:eastAsia="zh-CN"/>
        </w:rPr>
        <w:t xml:space="preserve"> In standalone deployment, NPBCH performance could be improved by 1.84 dB by including</w:t>
      </w:r>
      <w:r w:rsidR="00CC0127" w:rsidRPr="00CC0127">
        <w:rPr>
          <w:lang w:eastAsia="zh-CN"/>
        </w:rPr>
        <w:t xml:space="preserve"> the first three symbols in </w:t>
      </w:r>
      <w:r w:rsidR="00CC0127">
        <w:rPr>
          <w:lang w:eastAsia="zh-CN"/>
        </w:rPr>
        <w:t xml:space="preserve">the Release-8 control region and </w:t>
      </w:r>
      <w:r w:rsidR="00CC0127" w:rsidRPr="00CC0127">
        <w:rPr>
          <w:lang w:eastAsia="zh-CN"/>
        </w:rPr>
        <w:t>the REs c</w:t>
      </w:r>
      <w:r w:rsidR="00CC0127">
        <w:rPr>
          <w:lang w:eastAsia="zh-CN"/>
        </w:rPr>
        <w:t>orresponding to the 4 CRS ports. However, this solution does not seem necessary as would potentially be beneficial for case 3, but may already be achievable by most UE implementations which typically have some margin to meet the test requirements.</w:t>
      </w:r>
    </w:p>
    <w:p w14:paraId="4AC2C1E6" w14:textId="0930FED5" w:rsidR="00633551" w:rsidRDefault="00633551" w:rsidP="00633551">
      <w:pPr>
        <w:rPr>
          <w:lang w:eastAsia="zh-CN"/>
        </w:rPr>
      </w:pPr>
      <w:r>
        <w:rPr>
          <w:lang w:eastAsia="zh-CN"/>
        </w:rPr>
        <w:t xml:space="preserve">A UE can work at lower SNR than that shown above as NPDSCH can be scheduled with up to 2048 repetitions, NPDCCH with up to 1024, NPUSH with up to 128, NPRACH with up to 1024. Hence, the DL SNRs and UL SNRs required for the cases as shown in Table 2 should be well achievable. On the UL, the eNB may schedule UL transmission with an UL channel bandwidth of 3.75 kHz, or with 15 kHz or 3*15 kHz, with the needed number of repetitions. </w:t>
      </w:r>
    </w:p>
    <w:p w14:paraId="4DF39293" w14:textId="37ACED53" w:rsidR="00A47F89" w:rsidRPr="002901C2" w:rsidRDefault="00A47F89" w:rsidP="00A47F89">
      <w:pPr>
        <w:rPr>
          <w:i/>
          <w:lang w:eastAsia="x-none"/>
        </w:rPr>
      </w:pPr>
      <w:r w:rsidRPr="002901C2">
        <w:rPr>
          <w:b/>
          <w:i/>
          <w:lang w:eastAsia="x-none"/>
        </w:rPr>
        <w:t>Observation 1</w:t>
      </w:r>
      <w:r w:rsidRPr="002901C2">
        <w:rPr>
          <w:i/>
          <w:lang w:eastAsia="x-none"/>
        </w:rPr>
        <w:t xml:space="preserve">: </w:t>
      </w:r>
      <w:r w:rsidR="00633551" w:rsidRPr="00633551">
        <w:rPr>
          <w:i/>
          <w:lang w:eastAsia="x-none"/>
        </w:rPr>
        <w:t xml:space="preserve">NB-IoT can support minimum performance requirement </w:t>
      </w:r>
      <w:r w:rsidR="00633551">
        <w:rPr>
          <w:i/>
          <w:lang w:eastAsia="x-none"/>
        </w:rPr>
        <w:t>for NPDSCH, NPDCCH, NPUSCH format 1 and 2, NPRACH for NB-IoT NTN Set 3 and Set 4 for cases 1, 2, 3, and 4 by using specified range of repetitions</w:t>
      </w:r>
      <w:r w:rsidRPr="002901C2">
        <w:rPr>
          <w:i/>
          <w:lang w:eastAsia="x-none"/>
        </w:rPr>
        <w:t>.</w:t>
      </w:r>
    </w:p>
    <w:p w14:paraId="712E4D62" w14:textId="5FC2B71B" w:rsidR="00FF5DFB" w:rsidRDefault="00CC0127" w:rsidP="00C731C5">
      <w:pPr>
        <w:rPr>
          <w:lang w:eastAsia="zh-CN"/>
        </w:rPr>
      </w:pPr>
      <w:r w:rsidRPr="00CC0127">
        <w:rPr>
          <w:b/>
          <w:i/>
          <w:lang w:eastAsia="zh-CN"/>
        </w:rPr>
        <w:t xml:space="preserve">Observation </w:t>
      </w:r>
      <w:r>
        <w:rPr>
          <w:b/>
          <w:i/>
          <w:lang w:eastAsia="zh-CN"/>
        </w:rPr>
        <w:t>2</w:t>
      </w:r>
      <w:r w:rsidRPr="00CC0127">
        <w:rPr>
          <w:i/>
          <w:lang w:eastAsia="zh-CN"/>
        </w:rPr>
        <w:t>: NB-IoT can support minimum performance requirement for NPBCH</w:t>
      </w:r>
      <w:r>
        <w:rPr>
          <w:lang w:eastAsia="zh-CN"/>
        </w:rPr>
        <w:t>.</w:t>
      </w:r>
    </w:p>
    <w:p w14:paraId="217D2CC9" w14:textId="6EF852CE" w:rsidR="00CC0127" w:rsidRPr="00633551" w:rsidRDefault="00CC0127" w:rsidP="00CC0127">
      <w:pPr>
        <w:rPr>
          <w:i/>
          <w:lang w:eastAsia="zh-CN"/>
        </w:rPr>
      </w:pPr>
      <w:r w:rsidRPr="00633551">
        <w:rPr>
          <w:b/>
          <w:i/>
          <w:lang w:eastAsia="zh-CN"/>
        </w:rPr>
        <w:t xml:space="preserve">Observation </w:t>
      </w:r>
      <w:r>
        <w:rPr>
          <w:b/>
          <w:i/>
          <w:lang w:eastAsia="zh-CN"/>
        </w:rPr>
        <w:t>3</w:t>
      </w:r>
      <w:r w:rsidRPr="00633551">
        <w:rPr>
          <w:i/>
          <w:lang w:eastAsia="zh-CN"/>
        </w:rPr>
        <w:t>: It is up to the eNB UL scheduler to select the sub-carrier spacing and UL channel bandwidth with the required number of repetitions to transmit a TBS</w:t>
      </w:r>
      <w:r>
        <w:rPr>
          <w:i/>
          <w:lang w:eastAsia="zh-CN"/>
        </w:rPr>
        <w:t xml:space="preserve"> on NPUSCH or to transmit HARQ feedback on NPUSCH format 2</w:t>
      </w:r>
      <w:r w:rsidRPr="00633551">
        <w:rPr>
          <w:i/>
          <w:lang w:eastAsia="zh-CN"/>
        </w:rPr>
        <w:t xml:space="preserve">.    </w:t>
      </w:r>
    </w:p>
    <w:p w14:paraId="43425508" w14:textId="77777777" w:rsidR="00910EF8" w:rsidRPr="00910EF8" w:rsidRDefault="00910EF8" w:rsidP="00910EF8">
      <w:pPr>
        <w:rPr>
          <w:i/>
          <w:lang w:eastAsia="zh-CN"/>
        </w:rPr>
      </w:pPr>
      <w:r w:rsidRPr="00910EF8">
        <w:rPr>
          <w:b/>
          <w:i/>
          <w:lang w:eastAsia="zh-CN"/>
        </w:rPr>
        <w:t>Proposal 1</w:t>
      </w:r>
      <w:r w:rsidRPr="00910EF8">
        <w:rPr>
          <w:i/>
          <w:lang w:eastAsia="zh-CN"/>
        </w:rPr>
        <w:t xml:space="preserve">: List of Cases for Link Budget in Table 1 </w:t>
      </w:r>
      <w:r>
        <w:rPr>
          <w:i/>
          <w:lang w:eastAsia="zh-CN"/>
        </w:rPr>
        <w:t xml:space="preserve">in R1-2100600 </w:t>
      </w:r>
      <w:r w:rsidRPr="00910EF8">
        <w:rPr>
          <w:i/>
          <w:lang w:eastAsia="zh-CN"/>
        </w:rPr>
        <w:t>is used as working assumption for NB-IoT NTN</w:t>
      </w:r>
    </w:p>
    <w:p w14:paraId="62C4EEF1" w14:textId="77777777" w:rsidR="00910EF8" w:rsidRPr="00910EF8" w:rsidRDefault="00910EF8" w:rsidP="00910EF8">
      <w:pPr>
        <w:rPr>
          <w:i/>
          <w:lang w:eastAsia="zh-CN"/>
        </w:rPr>
      </w:pPr>
      <w:r w:rsidRPr="00910EF8">
        <w:rPr>
          <w:b/>
          <w:i/>
          <w:lang w:eastAsia="zh-CN"/>
        </w:rPr>
        <w:t>Proposal 2</w:t>
      </w:r>
      <w:r w:rsidRPr="00910EF8">
        <w:rPr>
          <w:i/>
          <w:lang w:eastAsia="zh-CN"/>
        </w:rPr>
        <w:t xml:space="preserve">: Link Budget results for case 1, 2, 3, and 4 in Table 2 </w:t>
      </w:r>
      <w:r>
        <w:rPr>
          <w:i/>
          <w:lang w:eastAsia="zh-CN"/>
        </w:rPr>
        <w:t xml:space="preserve">and losses in Table 3 in R1-2100600 </w:t>
      </w:r>
      <w:r w:rsidRPr="00910EF8">
        <w:rPr>
          <w:i/>
          <w:lang w:eastAsia="zh-CN"/>
        </w:rPr>
        <w:t>are included in TR 36.763</w:t>
      </w:r>
    </w:p>
    <w:p w14:paraId="5C30043F" w14:textId="77777777" w:rsidR="00910EF8" w:rsidRPr="00910EF8" w:rsidRDefault="00910EF8" w:rsidP="00C731C5">
      <w:pPr>
        <w:rPr>
          <w:i/>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1D0F7001" w14:textId="36C27AAC" w:rsidR="002901C2" w:rsidRDefault="004F402C" w:rsidP="002901C2">
      <w:pPr>
        <w:spacing w:line="276" w:lineRule="auto"/>
        <w:rPr>
          <w:rFonts w:eastAsia="SimSun"/>
          <w:lang w:val="en-US"/>
        </w:rPr>
      </w:pPr>
      <w:r w:rsidRPr="00F838C8">
        <w:rPr>
          <w:rFonts w:eastAsia="SimSun"/>
          <w:lang w:val="en-US"/>
        </w:rPr>
        <w:t xml:space="preserve">In this contribution, we summarize </w:t>
      </w:r>
      <w:r w:rsidR="00DA5945">
        <w:rPr>
          <w:rFonts w:eastAsia="SimSun"/>
          <w:lang w:val="en-US"/>
        </w:rPr>
        <w:t>observations for the link budget analysis and user density analysis for</w:t>
      </w:r>
      <w:r w:rsidR="00FD45D6">
        <w:rPr>
          <w:rFonts w:eastAsia="SimSun"/>
          <w:lang w:val="en-US"/>
        </w:rPr>
        <w:t xml:space="preserve"> IoT NTN for LEO and GEO. </w:t>
      </w:r>
    </w:p>
    <w:p w14:paraId="1C81B500" w14:textId="77777777" w:rsidR="00910EF8" w:rsidRPr="002901C2" w:rsidRDefault="00910EF8" w:rsidP="00910EF8">
      <w:pPr>
        <w:rPr>
          <w:i/>
          <w:lang w:eastAsia="x-none"/>
        </w:rPr>
      </w:pPr>
      <w:r w:rsidRPr="002901C2">
        <w:rPr>
          <w:b/>
          <w:i/>
          <w:lang w:eastAsia="x-none"/>
        </w:rPr>
        <w:t>Observation 1</w:t>
      </w:r>
      <w:r w:rsidRPr="002901C2">
        <w:rPr>
          <w:i/>
          <w:lang w:eastAsia="x-none"/>
        </w:rPr>
        <w:t xml:space="preserve">: </w:t>
      </w:r>
      <w:r w:rsidRPr="00633551">
        <w:rPr>
          <w:i/>
          <w:lang w:eastAsia="x-none"/>
        </w:rPr>
        <w:t xml:space="preserve">NB-IoT can support minimum performance requirement </w:t>
      </w:r>
      <w:r>
        <w:rPr>
          <w:i/>
          <w:lang w:eastAsia="x-none"/>
        </w:rPr>
        <w:t>for NPDSCH, NPDCCH, NPUSCH format 1 and 2, NPRACH for NB-IoT NTN Set 3 and Set 4 for cases 1, 2, 3, and 4 by using specified range of repetitions</w:t>
      </w:r>
      <w:r w:rsidRPr="002901C2">
        <w:rPr>
          <w:i/>
          <w:lang w:eastAsia="x-none"/>
        </w:rPr>
        <w:t>.</w:t>
      </w:r>
    </w:p>
    <w:p w14:paraId="37099093" w14:textId="77777777" w:rsidR="00910EF8" w:rsidRDefault="00910EF8" w:rsidP="00910EF8">
      <w:pPr>
        <w:rPr>
          <w:lang w:eastAsia="zh-CN"/>
        </w:rPr>
      </w:pPr>
      <w:r w:rsidRPr="00CC0127">
        <w:rPr>
          <w:b/>
          <w:i/>
          <w:lang w:eastAsia="zh-CN"/>
        </w:rPr>
        <w:t xml:space="preserve">Observation </w:t>
      </w:r>
      <w:r>
        <w:rPr>
          <w:b/>
          <w:i/>
          <w:lang w:eastAsia="zh-CN"/>
        </w:rPr>
        <w:t>2</w:t>
      </w:r>
      <w:r w:rsidRPr="00CC0127">
        <w:rPr>
          <w:i/>
          <w:lang w:eastAsia="zh-CN"/>
        </w:rPr>
        <w:t>: NB-IoT can support minimum performance requirement for NPBCH</w:t>
      </w:r>
      <w:r>
        <w:rPr>
          <w:lang w:eastAsia="zh-CN"/>
        </w:rPr>
        <w:t>.</w:t>
      </w:r>
    </w:p>
    <w:p w14:paraId="04FC2D80" w14:textId="77777777" w:rsidR="00910EF8" w:rsidRPr="00633551" w:rsidRDefault="00910EF8" w:rsidP="00910EF8">
      <w:pPr>
        <w:rPr>
          <w:i/>
          <w:lang w:eastAsia="zh-CN"/>
        </w:rPr>
      </w:pPr>
      <w:r w:rsidRPr="00633551">
        <w:rPr>
          <w:b/>
          <w:i/>
          <w:lang w:eastAsia="zh-CN"/>
        </w:rPr>
        <w:t xml:space="preserve">Observation </w:t>
      </w:r>
      <w:r>
        <w:rPr>
          <w:b/>
          <w:i/>
          <w:lang w:eastAsia="zh-CN"/>
        </w:rPr>
        <w:t>3</w:t>
      </w:r>
      <w:r w:rsidRPr="00633551">
        <w:rPr>
          <w:i/>
          <w:lang w:eastAsia="zh-CN"/>
        </w:rPr>
        <w:t>: It is up to the eNB UL scheduler to select the sub-carrier spacing and UL channel bandwidth with the required number of repetitions to transmit a TBS</w:t>
      </w:r>
      <w:r>
        <w:rPr>
          <w:i/>
          <w:lang w:eastAsia="zh-CN"/>
        </w:rPr>
        <w:t xml:space="preserve"> on NPUSCH or to transmit HARQ feedback on NPUSCH format 2</w:t>
      </w:r>
      <w:r w:rsidRPr="00633551">
        <w:rPr>
          <w:i/>
          <w:lang w:eastAsia="zh-CN"/>
        </w:rPr>
        <w:t xml:space="preserve">.    </w:t>
      </w:r>
    </w:p>
    <w:p w14:paraId="33914390" w14:textId="0A82032D" w:rsidR="00910EF8" w:rsidRPr="00910EF8" w:rsidRDefault="00910EF8" w:rsidP="00910EF8">
      <w:pPr>
        <w:rPr>
          <w:i/>
          <w:lang w:eastAsia="zh-CN"/>
        </w:rPr>
      </w:pPr>
      <w:r w:rsidRPr="00910EF8">
        <w:rPr>
          <w:b/>
          <w:i/>
          <w:lang w:eastAsia="zh-CN"/>
        </w:rPr>
        <w:t>Proposal 1</w:t>
      </w:r>
      <w:r w:rsidRPr="00910EF8">
        <w:rPr>
          <w:i/>
          <w:lang w:eastAsia="zh-CN"/>
        </w:rPr>
        <w:t xml:space="preserve">: List of Cases for Link Budget in Table 1 </w:t>
      </w:r>
      <w:r>
        <w:rPr>
          <w:i/>
          <w:lang w:eastAsia="zh-CN"/>
        </w:rPr>
        <w:t xml:space="preserve">in R1-2100600 </w:t>
      </w:r>
      <w:r w:rsidRPr="00910EF8">
        <w:rPr>
          <w:i/>
          <w:lang w:eastAsia="zh-CN"/>
        </w:rPr>
        <w:t>is used as working assumption for NB-IoT NTN</w:t>
      </w:r>
    </w:p>
    <w:p w14:paraId="66D9B2F1" w14:textId="1874E8A5" w:rsidR="00910EF8" w:rsidRPr="00910EF8" w:rsidRDefault="00910EF8" w:rsidP="00910EF8">
      <w:pPr>
        <w:rPr>
          <w:i/>
          <w:lang w:eastAsia="zh-CN"/>
        </w:rPr>
      </w:pPr>
      <w:r w:rsidRPr="00910EF8">
        <w:rPr>
          <w:b/>
          <w:i/>
          <w:lang w:eastAsia="zh-CN"/>
        </w:rPr>
        <w:t>Proposal 2</w:t>
      </w:r>
      <w:r w:rsidRPr="00910EF8">
        <w:rPr>
          <w:i/>
          <w:lang w:eastAsia="zh-CN"/>
        </w:rPr>
        <w:t xml:space="preserve">: Link Budget results for case 1, 2, 3, and 4 in Table 2 </w:t>
      </w:r>
      <w:r>
        <w:rPr>
          <w:i/>
          <w:lang w:eastAsia="zh-CN"/>
        </w:rPr>
        <w:t xml:space="preserve">and losses in Table 3 in R1-2100600 </w:t>
      </w:r>
      <w:r w:rsidRPr="00910EF8">
        <w:rPr>
          <w:i/>
          <w:lang w:eastAsia="zh-CN"/>
        </w:rPr>
        <w:t>are included in TR 36.763</w:t>
      </w:r>
    </w:p>
    <w:p w14:paraId="6D4462BC" w14:textId="77777777" w:rsidR="002901C2" w:rsidRDefault="002901C2" w:rsidP="002901C2">
      <w:pPr>
        <w:spacing w:line="276" w:lineRule="auto"/>
        <w:rPr>
          <w:rFonts w:eastAsia="SimSun"/>
          <w:lang w:val="en-US"/>
        </w:rPr>
      </w:pPr>
    </w:p>
    <w:p w14:paraId="222F7CFD" w14:textId="12DAC1AA" w:rsidR="002901C2" w:rsidRPr="002901C2" w:rsidRDefault="002901C2" w:rsidP="002901C2">
      <w:pPr>
        <w:pStyle w:val="Heading1"/>
        <w:rPr>
          <w:rFonts w:cs="Arial"/>
          <w:lang w:eastAsia="zh-TW"/>
        </w:rPr>
      </w:pPr>
      <w:r w:rsidRPr="002901C2">
        <w:rPr>
          <w:rFonts w:cs="Arial"/>
          <w:lang w:eastAsia="zh-TW"/>
        </w:rPr>
        <w:lastRenderedPageBreak/>
        <w:t>ANNEX</w:t>
      </w:r>
    </w:p>
    <w:p w14:paraId="3E0B0534" w14:textId="5D20651E" w:rsidR="001C6098" w:rsidRPr="002901C2" w:rsidRDefault="001C6098" w:rsidP="002901C2">
      <w:pPr>
        <w:spacing w:line="276" w:lineRule="auto"/>
        <w:rPr>
          <w:rFonts w:eastAsia="SimSun"/>
          <w:lang w:val="en-US"/>
        </w:rPr>
      </w:pPr>
      <w:r>
        <w:rPr>
          <w:lang w:eastAsia="x-none"/>
        </w:rPr>
        <w:t>Path loss modelling is according to TR 38.821 in Table 6.1.3.3-1. As there were different views from companies on Free Space Loss, Atmospheric loss, Shadow margin, Polarisation loss, Additional losses, we used mainly worst case assumptions summarized in table below:</w:t>
      </w:r>
    </w:p>
    <w:tbl>
      <w:tblPr>
        <w:tblW w:w="10340" w:type="dxa"/>
        <w:tblLook w:val="04A0" w:firstRow="1" w:lastRow="0" w:firstColumn="1" w:lastColumn="0" w:noHBand="0" w:noVBand="1"/>
      </w:tblPr>
      <w:tblGrid>
        <w:gridCol w:w="3080"/>
        <w:gridCol w:w="2060"/>
        <w:gridCol w:w="2060"/>
        <w:gridCol w:w="2060"/>
        <w:gridCol w:w="1080"/>
      </w:tblGrid>
      <w:tr w:rsidR="001C6098" w:rsidRPr="00196BB8" w14:paraId="3C6DF603" w14:textId="77777777" w:rsidTr="00532AEB">
        <w:trPr>
          <w:trHeight w:val="315"/>
        </w:trPr>
        <w:tc>
          <w:tcPr>
            <w:tcW w:w="3080" w:type="dxa"/>
            <w:tcBorders>
              <w:top w:val="nil"/>
              <w:left w:val="nil"/>
              <w:bottom w:val="nil"/>
              <w:right w:val="nil"/>
            </w:tcBorders>
            <w:shd w:val="clear" w:color="auto" w:fill="auto"/>
            <w:noWrap/>
            <w:vAlign w:val="bottom"/>
            <w:hideMark/>
          </w:tcPr>
          <w:p w14:paraId="47D364CC" w14:textId="77777777" w:rsidR="001C6098" w:rsidRPr="00196BB8" w:rsidRDefault="001C6098" w:rsidP="00532AEB">
            <w:pPr>
              <w:spacing w:after="0"/>
              <w:rPr>
                <w:rFonts w:ascii="Calibri" w:eastAsia="Times New Roman" w:hAnsi="Calibri"/>
                <w:color w:val="000000"/>
                <w:sz w:val="24"/>
                <w:szCs w:val="24"/>
                <w:lang w:val="en-US"/>
              </w:rPr>
            </w:pPr>
          </w:p>
        </w:tc>
        <w:tc>
          <w:tcPr>
            <w:tcW w:w="2060" w:type="dxa"/>
            <w:tcBorders>
              <w:top w:val="nil"/>
              <w:left w:val="nil"/>
              <w:bottom w:val="nil"/>
              <w:right w:val="nil"/>
            </w:tcBorders>
            <w:shd w:val="clear" w:color="auto" w:fill="auto"/>
            <w:noWrap/>
            <w:vAlign w:val="bottom"/>
            <w:hideMark/>
          </w:tcPr>
          <w:p w14:paraId="13CEB5D6"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GEO 35786 km</w:t>
            </w:r>
          </w:p>
        </w:tc>
        <w:tc>
          <w:tcPr>
            <w:tcW w:w="2060" w:type="dxa"/>
            <w:tcBorders>
              <w:top w:val="nil"/>
              <w:left w:val="nil"/>
              <w:bottom w:val="nil"/>
              <w:right w:val="nil"/>
            </w:tcBorders>
            <w:shd w:val="clear" w:color="auto" w:fill="auto"/>
            <w:noWrap/>
            <w:vAlign w:val="bottom"/>
            <w:hideMark/>
          </w:tcPr>
          <w:p w14:paraId="7C229068" w14:textId="77777777" w:rsidR="001C6098" w:rsidRPr="00196BB8" w:rsidRDefault="001C6098" w:rsidP="00532AEB">
            <w:pPr>
              <w:spacing w:after="0"/>
              <w:rPr>
                <w:rFonts w:eastAsia="Times New Roman"/>
                <w:sz w:val="24"/>
                <w:lang w:val="en-US"/>
              </w:rPr>
            </w:pPr>
            <w:r w:rsidRPr="00196BB8">
              <w:rPr>
                <w:rFonts w:eastAsia="Times New Roman"/>
                <w:sz w:val="24"/>
                <w:lang w:val="en-US"/>
              </w:rPr>
              <w:t xml:space="preserve">      LEO 1200 km</w:t>
            </w:r>
          </w:p>
        </w:tc>
        <w:tc>
          <w:tcPr>
            <w:tcW w:w="2060" w:type="dxa"/>
            <w:tcBorders>
              <w:top w:val="nil"/>
              <w:left w:val="nil"/>
              <w:bottom w:val="nil"/>
              <w:right w:val="nil"/>
            </w:tcBorders>
            <w:shd w:val="clear" w:color="auto" w:fill="auto"/>
            <w:noWrap/>
            <w:vAlign w:val="bottom"/>
            <w:hideMark/>
          </w:tcPr>
          <w:p w14:paraId="550AD26D" w14:textId="77777777" w:rsidR="001C6098" w:rsidRPr="00196BB8" w:rsidRDefault="001C6098" w:rsidP="00532AEB">
            <w:pPr>
              <w:spacing w:after="0"/>
              <w:rPr>
                <w:rFonts w:eastAsia="Times New Roman"/>
                <w:sz w:val="24"/>
                <w:lang w:val="en-US"/>
              </w:rPr>
            </w:pPr>
            <w:r>
              <w:rPr>
                <w:rFonts w:eastAsia="Times New Roman"/>
                <w:sz w:val="24"/>
                <w:lang w:val="en-US"/>
              </w:rPr>
              <w:t xml:space="preserve">        </w:t>
            </w:r>
            <w:r w:rsidRPr="00196BB8">
              <w:rPr>
                <w:rFonts w:eastAsia="Times New Roman"/>
                <w:sz w:val="24"/>
                <w:lang w:val="en-US"/>
              </w:rPr>
              <w:t xml:space="preserve">LEO </w:t>
            </w:r>
            <w:r>
              <w:rPr>
                <w:rFonts w:eastAsia="Times New Roman"/>
                <w:sz w:val="24"/>
                <w:lang w:val="en-US"/>
              </w:rPr>
              <w:t>6</w:t>
            </w:r>
            <w:r w:rsidRPr="00196BB8">
              <w:rPr>
                <w:rFonts w:eastAsia="Times New Roman"/>
                <w:sz w:val="24"/>
                <w:lang w:val="en-US"/>
              </w:rPr>
              <w:t>00 km</w:t>
            </w:r>
          </w:p>
        </w:tc>
        <w:tc>
          <w:tcPr>
            <w:tcW w:w="1080" w:type="dxa"/>
            <w:tcBorders>
              <w:top w:val="nil"/>
              <w:left w:val="nil"/>
              <w:bottom w:val="nil"/>
              <w:right w:val="nil"/>
            </w:tcBorders>
            <w:shd w:val="clear" w:color="auto" w:fill="auto"/>
            <w:noWrap/>
            <w:vAlign w:val="bottom"/>
            <w:hideMark/>
          </w:tcPr>
          <w:p w14:paraId="1B378820" w14:textId="77777777" w:rsidR="001C6098" w:rsidRPr="00196BB8" w:rsidRDefault="001C6098" w:rsidP="00532AEB">
            <w:pPr>
              <w:spacing w:after="0"/>
              <w:rPr>
                <w:rFonts w:eastAsia="Times New Roman"/>
                <w:sz w:val="24"/>
                <w:lang w:val="en-US"/>
              </w:rPr>
            </w:pPr>
          </w:p>
        </w:tc>
      </w:tr>
      <w:tr w:rsidR="001C6098" w:rsidRPr="00196BB8" w14:paraId="53F71885" w14:textId="77777777" w:rsidTr="00532AEB">
        <w:trPr>
          <w:trHeight w:val="315"/>
        </w:trPr>
        <w:tc>
          <w:tcPr>
            <w:tcW w:w="3080" w:type="dxa"/>
            <w:tcBorders>
              <w:top w:val="nil"/>
              <w:left w:val="nil"/>
              <w:bottom w:val="nil"/>
              <w:right w:val="nil"/>
            </w:tcBorders>
            <w:shd w:val="clear" w:color="000000" w:fill="FFF2CC"/>
            <w:noWrap/>
            <w:vAlign w:val="bottom"/>
            <w:hideMark/>
          </w:tcPr>
          <w:p w14:paraId="6183A861"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FSPL </w:t>
            </w:r>
          </w:p>
        </w:tc>
        <w:tc>
          <w:tcPr>
            <w:tcW w:w="2060" w:type="dxa"/>
            <w:tcBorders>
              <w:top w:val="nil"/>
              <w:left w:val="nil"/>
              <w:bottom w:val="nil"/>
              <w:right w:val="nil"/>
            </w:tcBorders>
            <w:shd w:val="clear" w:color="000000" w:fill="FFF2CC"/>
            <w:noWrap/>
            <w:vAlign w:val="bottom"/>
            <w:hideMark/>
          </w:tcPr>
          <w:p w14:paraId="12DF8288"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190.6</w:t>
            </w:r>
          </w:p>
        </w:tc>
        <w:tc>
          <w:tcPr>
            <w:tcW w:w="2060" w:type="dxa"/>
            <w:tcBorders>
              <w:top w:val="nil"/>
              <w:left w:val="nil"/>
              <w:bottom w:val="nil"/>
              <w:right w:val="nil"/>
            </w:tcBorders>
            <w:shd w:val="clear" w:color="000000" w:fill="FFF2CC"/>
            <w:noWrap/>
            <w:vAlign w:val="bottom"/>
            <w:hideMark/>
          </w:tcPr>
          <w:p w14:paraId="239F6776" w14:textId="77777777" w:rsidR="001C6098" w:rsidRPr="00196BB8" w:rsidRDefault="001C6098" w:rsidP="00532AEB">
            <w:pPr>
              <w:spacing w:after="0"/>
              <w:jc w:val="center"/>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164.5</w:t>
            </w:r>
          </w:p>
        </w:tc>
        <w:tc>
          <w:tcPr>
            <w:tcW w:w="2060" w:type="dxa"/>
            <w:tcBorders>
              <w:top w:val="nil"/>
              <w:left w:val="nil"/>
              <w:bottom w:val="nil"/>
              <w:right w:val="nil"/>
            </w:tcBorders>
            <w:shd w:val="clear" w:color="000000" w:fill="FFF2CC"/>
            <w:noWrap/>
            <w:vAlign w:val="bottom"/>
            <w:hideMark/>
          </w:tcPr>
          <w:p w14:paraId="3550DB5B"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159.1</w:t>
            </w:r>
          </w:p>
        </w:tc>
        <w:tc>
          <w:tcPr>
            <w:tcW w:w="1080" w:type="dxa"/>
            <w:tcBorders>
              <w:top w:val="nil"/>
              <w:left w:val="nil"/>
              <w:bottom w:val="nil"/>
              <w:right w:val="nil"/>
            </w:tcBorders>
            <w:shd w:val="clear" w:color="000000" w:fill="FFF2CC"/>
            <w:noWrap/>
            <w:vAlign w:val="bottom"/>
            <w:hideMark/>
          </w:tcPr>
          <w:p w14:paraId="79FC027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7A9204F5" w14:textId="77777777" w:rsidTr="00532AEB">
        <w:trPr>
          <w:trHeight w:val="315"/>
        </w:trPr>
        <w:tc>
          <w:tcPr>
            <w:tcW w:w="3080" w:type="dxa"/>
            <w:tcBorders>
              <w:top w:val="nil"/>
              <w:left w:val="nil"/>
              <w:bottom w:val="nil"/>
              <w:right w:val="nil"/>
            </w:tcBorders>
            <w:shd w:val="clear" w:color="000000" w:fill="FFF2CC"/>
            <w:noWrap/>
            <w:vAlign w:val="bottom"/>
            <w:hideMark/>
          </w:tcPr>
          <w:p w14:paraId="4974943C"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Scintillation losses</w:t>
            </w:r>
          </w:p>
        </w:tc>
        <w:tc>
          <w:tcPr>
            <w:tcW w:w="2060" w:type="dxa"/>
            <w:tcBorders>
              <w:top w:val="nil"/>
              <w:left w:val="nil"/>
              <w:bottom w:val="nil"/>
              <w:right w:val="nil"/>
            </w:tcBorders>
            <w:shd w:val="clear" w:color="000000" w:fill="FFF2CC"/>
            <w:noWrap/>
            <w:vAlign w:val="bottom"/>
            <w:hideMark/>
          </w:tcPr>
          <w:p w14:paraId="1867AD8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5C798EFA"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2060" w:type="dxa"/>
            <w:tcBorders>
              <w:top w:val="nil"/>
              <w:left w:val="nil"/>
              <w:bottom w:val="nil"/>
              <w:right w:val="nil"/>
            </w:tcBorders>
            <w:shd w:val="clear" w:color="000000" w:fill="FFF2CC"/>
            <w:noWrap/>
            <w:vAlign w:val="bottom"/>
            <w:hideMark/>
          </w:tcPr>
          <w:p w14:paraId="3E6EF2B9"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2.2</w:t>
            </w:r>
          </w:p>
        </w:tc>
        <w:tc>
          <w:tcPr>
            <w:tcW w:w="1080" w:type="dxa"/>
            <w:tcBorders>
              <w:top w:val="nil"/>
              <w:left w:val="nil"/>
              <w:bottom w:val="nil"/>
              <w:right w:val="nil"/>
            </w:tcBorders>
            <w:shd w:val="clear" w:color="000000" w:fill="FFF2CC"/>
            <w:noWrap/>
            <w:vAlign w:val="bottom"/>
            <w:hideMark/>
          </w:tcPr>
          <w:p w14:paraId="41627E3F" w14:textId="77777777" w:rsidR="001C6098" w:rsidRPr="00196BB8" w:rsidRDefault="001C6098" w:rsidP="00532AEB">
            <w:pPr>
              <w:spacing w:after="0"/>
              <w:rPr>
                <w:rFonts w:ascii="Calibri" w:eastAsia="Times New Roman" w:hAnsi="Calibri"/>
                <w:color w:val="000000"/>
                <w:sz w:val="24"/>
                <w:szCs w:val="24"/>
                <w:lang w:val="en-US"/>
              </w:rPr>
            </w:pPr>
            <w:r>
              <w:rPr>
                <w:rFonts w:ascii="Calibri" w:eastAsia="Times New Roman" w:hAnsi="Calibri"/>
                <w:color w:val="000000"/>
                <w:sz w:val="24"/>
                <w:szCs w:val="24"/>
                <w:lang w:val="en-US"/>
              </w:rPr>
              <w:t>dB</w:t>
            </w:r>
          </w:p>
        </w:tc>
      </w:tr>
      <w:tr w:rsidR="001C6098" w:rsidRPr="00196BB8" w14:paraId="4536C987" w14:textId="77777777" w:rsidTr="00532AEB">
        <w:trPr>
          <w:trHeight w:val="315"/>
        </w:trPr>
        <w:tc>
          <w:tcPr>
            <w:tcW w:w="3080" w:type="dxa"/>
            <w:tcBorders>
              <w:top w:val="nil"/>
              <w:left w:val="nil"/>
              <w:bottom w:val="nil"/>
              <w:right w:val="nil"/>
            </w:tcBorders>
            <w:shd w:val="clear" w:color="000000" w:fill="FFF2CC"/>
            <w:noWrap/>
            <w:vAlign w:val="bottom"/>
            <w:hideMark/>
          </w:tcPr>
          <w:p w14:paraId="4ED5358C"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atmospheric losses</w:t>
            </w:r>
          </w:p>
        </w:tc>
        <w:tc>
          <w:tcPr>
            <w:tcW w:w="2060" w:type="dxa"/>
            <w:tcBorders>
              <w:top w:val="nil"/>
              <w:left w:val="nil"/>
              <w:bottom w:val="nil"/>
              <w:right w:val="nil"/>
            </w:tcBorders>
            <w:shd w:val="clear" w:color="000000" w:fill="FFF2CC"/>
            <w:noWrap/>
            <w:vAlign w:val="bottom"/>
            <w:hideMark/>
          </w:tcPr>
          <w:p w14:paraId="64741027" w14:textId="1E5B4971"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w:t>
            </w:r>
            <w:r w:rsidR="00A47F89">
              <w:rPr>
                <w:rFonts w:ascii="Calibri" w:eastAsia="Times New Roman" w:hAnsi="Calibri"/>
                <w:color w:val="000000"/>
                <w:sz w:val="24"/>
                <w:szCs w:val="24"/>
                <w:lang w:val="en-US"/>
              </w:rPr>
              <w:t>2</w:t>
            </w:r>
          </w:p>
        </w:tc>
        <w:tc>
          <w:tcPr>
            <w:tcW w:w="2060" w:type="dxa"/>
            <w:tcBorders>
              <w:top w:val="nil"/>
              <w:left w:val="nil"/>
              <w:bottom w:val="nil"/>
              <w:right w:val="nil"/>
            </w:tcBorders>
            <w:shd w:val="clear" w:color="000000" w:fill="FFF2CC"/>
            <w:noWrap/>
            <w:vAlign w:val="bottom"/>
            <w:hideMark/>
          </w:tcPr>
          <w:p w14:paraId="539C8F45"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2060" w:type="dxa"/>
            <w:tcBorders>
              <w:top w:val="nil"/>
              <w:left w:val="nil"/>
              <w:bottom w:val="nil"/>
              <w:right w:val="nil"/>
            </w:tcBorders>
            <w:shd w:val="clear" w:color="000000" w:fill="FFF2CC"/>
            <w:noWrap/>
            <w:vAlign w:val="bottom"/>
            <w:hideMark/>
          </w:tcPr>
          <w:p w14:paraId="38312182"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0.1</w:t>
            </w:r>
          </w:p>
        </w:tc>
        <w:tc>
          <w:tcPr>
            <w:tcW w:w="1080" w:type="dxa"/>
            <w:tcBorders>
              <w:top w:val="nil"/>
              <w:left w:val="nil"/>
              <w:bottom w:val="nil"/>
              <w:right w:val="nil"/>
            </w:tcBorders>
            <w:shd w:val="clear" w:color="000000" w:fill="FFF2CC"/>
            <w:noWrap/>
            <w:vAlign w:val="bottom"/>
            <w:hideMark/>
          </w:tcPr>
          <w:p w14:paraId="4FDF5117"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495FCD" w14:textId="77777777" w:rsidTr="00532AEB">
        <w:trPr>
          <w:trHeight w:val="315"/>
        </w:trPr>
        <w:tc>
          <w:tcPr>
            <w:tcW w:w="3080" w:type="dxa"/>
            <w:tcBorders>
              <w:top w:val="nil"/>
              <w:left w:val="nil"/>
              <w:bottom w:val="nil"/>
              <w:right w:val="nil"/>
            </w:tcBorders>
            <w:shd w:val="clear" w:color="000000" w:fill="FFF2CC"/>
            <w:noWrap/>
            <w:vAlign w:val="bottom"/>
            <w:hideMark/>
          </w:tcPr>
          <w:p w14:paraId="61DE28A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polarization loss</w:t>
            </w:r>
          </w:p>
        </w:tc>
        <w:tc>
          <w:tcPr>
            <w:tcW w:w="2060" w:type="dxa"/>
            <w:tcBorders>
              <w:top w:val="nil"/>
              <w:left w:val="nil"/>
              <w:bottom w:val="nil"/>
              <w:right w:val="nil"/>
            </w:tcBorders>
            <w:shd w:val="clear" w:color="000000" w:fill="FFF2CC"/>
            <w:noWrap/>
            <w:vAlign w:val="bottom"/>
            <w:hideMark/>
          </w:tcPr>
          <w:p w14:paraId="22CA0B4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C2035C8"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3ABC04F6"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A1719E6"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3D35AB8" w14:textId="77777777" w:rsidTr="00532AEB">
        <w:trPr>
          <w:trHeight w:val="315"/>
        </w:trPr>
        <w:tc>
          <w:tcPr>
            <w:tcW w:w="3080" w:type="dxa"/>
            <w:tcBorders>
              <w:top w:val="nil"/>
              <w:left w:val="nil"/>
              <w:bottom w:val="nil"/>
              <w:right w:val="nil"/>
            </w:tcBorders>
            <w:shd w:val="clear" w:color="000000" w:fill="FFF2CC"/>
            <w:noWrap/>
            <w:vAlign w:val="bottom"/>
            <w:hideMark/>
          </w:tcPr>
          <w:p w14:paraId="70ED0DBE"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shadow </w:t>
            </w:r>
            <w:r>
              <w:rPr>
                <w:rFonts w:ascii="Calibri" w:eastAsia="Times New Roman" w:hAnsi="Calibri"/>
                <w:color w:val="000000"/>
                <w:sz w:val="24"/>
                <w:szCs w:val="24"/>
                <w:lang w:val="en-US"/>
              </w:rPr>
              <w:t xml:space="preserve">margin </w:t>
            </w:r>
          </w:p>
        </w:tc>
        <w:tc>
          <w:tcPr>
            <w:tcW w:w="2060" w:type="dxa"/>
            <w:tcBorders>
              <w:top w:val="nil"/>
              <w:left w:val="nil"/>
              <w:bottom w:val="nil"/>
              <w:right w:val="nil"/>
            </w:tcBorders>
            <w:shd w:val="clear" w:color="000000" w:fill="FFF2CC"/>
            <w:noWrap/>
            <w:vAlign w:val="bottom"/>
            <w:hideMark/>
          </w:tcPr>
          <w:p w14:paraId="51351CCC"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7D9E91CD"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2060" w:type="dxa"/>
            <w:tcBorders>
              <w:top w:val="nil"/>
              <w:left w:val="nil"/>
              <w:bottom w:val="nil"/>
              <w:right w:val="nil"/>
            </w:tcBorders>
            <w:shd w:val="clear" w:color="000000" w:fill="FFF2CC"/>
            <w:noWrap/>
            <w:vAlign w:val="bottom"/>
            <w:hideMark/>
          </w:tcPr>
          <w:p w14:paraId="474C618E"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3</w:t>
            </w:r>
          </w:p>
        </w:tc>
        <w:tc>
          <w:tcPr>
            <w:tcW w:w="1080" w:type="dxa"/>
            <w:tcBorders>
              <w:top w:val="nil"/>
              <w:left w:val="nil"/>
              <w:bottom w:val="nil"/>
              <w:right w:val="nil"/>
            </w:tcBorders>
            <w:shd w:val="clear" w:color="000000" w:fill="FFF2CC"/>
            <w:noWrap/>
            <w:vAlign w:val="bottom"/>
            <w:hideMark/>
          </w:tcPr>
          <w:p w14:paraId="584756A2"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r w:rsidR="001C6098" w:rsidRPr="00196BB8" w14:paraId="4B160F29" w14:textId="77777777" w:rsidTr="00532AEB">
        <w:trPr>
          <w:trHeight w:val="315"/>
        </w:trPr>
        <w:tc>
          <w:tcPr>
            <w:tcW w:w="3080" w:type="dxa"/>
            <w:tcBorders>
              <w:top w:val="nil"/>
              <w:left w:val="nil"/>
              <w:bottom w:val="nil"/>
              <w:right w:val="nil"/>
            </w:tcBorders>
            <w:shd w:val="clear" w:color="000000" w:fill="FFF2CC"/>
            <w:noWrap/>
            <w:vAlign w:val="bottom"/>
            <w:hideMark/>
          </w:tcPr>
          <w:p w14:paraId="1E4C24D4"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 xml:space="preserve">sum of all losses </w:t>
            </w:r>
          </w:p>
        </w:tc>
        <w:tc>
          <w:tcPr>
            <w:tcW w:w="2060" w:type="dxa"/>
            <w:tcBorders>
              <w:top w:val="nil"/>
              <w:left w:val="nil"/>
              <w:bottom w:val="nil"/>
              <w:right w:val="nil"/>
            </w:tcBorders>
            <w:shd w:val="clear" w:color="000000" w:fill="FFF2CC"/>
            <w:noWrap/>
            <w:vAlign w:val="bottom"/>
            <w:hideMark/>
          </w:tcPr>
          <w:p w14:paraId="6A2DA6A4"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198.9</w:t>
            </w:r>
          </w:p>
        </w:tc>
        <w:tc>
          <w:tcPr>
            <w:tcW w:w="2060" w:type="dxa"/>
            <w:tcBorders>
              <w:top w:val="nil"/>
              <w:left w:val="nil"/>
              <w:bottom w:val="nil"/>
              <w:right w:val="nil"/>
            </w:tcBorders>
            <w:shd w:val="clear" w:color="000000" w:fill="FFF2CC"/>
            <w:noWrap/>
            <w:vAlign w:val="bottom"/>
            <w:hideMark/>
          </w:tcPr>
          <w:p w14:paraId="745EC24F"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172.8</w:t>
            </w:r>
          </w:p>
        </w:tc>
        <w:tc>
          <w:tcPr>
            <w:tcW w:w="2060" w:type="dxa"/>
            <w:tcBorders>
              <w:top w:val="nil"/>
              <w:left w:val="nil"/>
              <w:bottom w:val="nil"/>
              <w:right w:val="nil"/>
            </w:tcBorders>
            <w:shd w:val="clear" w:color="000000" w:fill="FFF2CC"/>
            <w:noWrap/>
            <w:vAlign w:val="bottom"/>
            <w:hideMark/>
          </w:tcPr>
          <w:p w14:paraId="72513DA4" w14:textId="77777777" w:rsidR="001C6098" w:rsidRPr="00196BB8" w:rsidRDefault="001C6098" w:rsidP="00532AEB">
            <w:pPr>
              <w:spacing w:after="0"/>
              <w:jc w:val="center"/>
              <w:rPr>
                <w:rFonts w:ascii="Calibri" w:eastAsia="Times New Roman" w:hAnsi="Calibri"/>
                <w:color w:val="000000"/>
                <w:sz w:val="24"/>
                <w:szCs w:val="24"/>
                <w:lang w:val="en-US"/>
              </w:rPr>
            </w:pPr>
            <w:r>
              <w:rPr>
                <w:rFonts w:ascii="Calibri" w:eastAsia="Times New Roman" w:hAnsi="Calibri"/>
                <w:color w:val="000000"/>
                <w:sz w:val="24"/>
                <w:szCs w:val="24"/>
                <w:lang w:val="en-US"/>
              </w:rPr>
              <w:t xml:space="preserve">           </w:t>
            </w:r>
            <w:r w:rsidRPr="00196BB8">
              <w:rPr>
                <w:rFonts w:ascii="Calibri" w:eastAsia="Times New Roman" w:hAnsi="Calibri"/>
                <w:color w:val="000000"/>
                <w:sz w:val="24"/>
                <w:szCs w:val="24"/>
                <w:lang w:val="en-US"/>
              </w:rPr>
              <w:t>167.4</w:t>
            </w:r>
          </w:p>
        </w:tc>
        <w:tc>
          <w:tcPr>
            <w:tcW w:w="1080" w:type="dxa"/>
            <w:tcBorders>
              <w:top w:val="nil"/>
              <w:left w:val="nil"/>
              <w:bottom w:val="nil"/>
              <w:right w:val="nil"/>
            </w:tcBorders>
            <w:shd w:val="clear" w:color="000000" w:fill="FFF2CC"/>
            <w:noWrap/>
            <w:vAlign w:val="bottom"/>
            <w:hideMark/>
          </w:tcPr>
          <w:p w14:paraId="31B6C0FA" w14:textId="77777777" w:rsidR="001C6098" w:rsidRPr="00196BB8" w:rsidRDefault="001C6098" w:rsidP="00532AEB">
            <w:pPr>
              <w:spacing w:after="0"/>
              <w:rPr>
                <w:rFonts w:ascii="Calibri" w:eastAsia="Times New Roman" w:hAnsi="Calibri"/>
                <w:color w:val="000000"/>
                <w:sz w:val="24"/>
                <w:szCs w:val="24"/>
                <w:lang w:val="en-US"/>
              </w:rPr>
            </w:pPr>
            <w:r w:rsidRPr="00196BB8">
              <w:rPr>
                <w:rFonts w:ascii="Calibri" w:eastAsia="Times New Roman" w:hAnsi="Calibri"/>
                <w:color w:val="000000"/>
                <w:sz w:val="24"/>
                <w:szCs w:val="24"/>
                <w:lang w:val="en-US"/>
              </w:rPr>
              <w:t>dB</w:t>
            </w:r>
          </w:p>
        </w:tc>
      </w:tr>
    </w:tbl>
    <w:p w14:paraId="285077A8" w14:textId="1EC77F1D" w:rsidR="001C6098" w:rsidRPr="00910EF8" w:rsidRDefault="00910EF8" w:rsidP="00910EF8">
      <w:pPr>
        <w:jc w:val="center"/>
        <w:rPr>
          <w:i/>
          <w:lang w:eastAsia="x-none"/>
        </w:rPr>
      </w:pPr>
      <w:r w:rsidRPr="00910EF8">
        <w:rPr>
          <w:b/>
          <w:i/>
          <w:lang w:eastAsia="x-none"/>
        </w:rPr>
        <w:t>Table 3</w:t>
      </w:r>
      <w:r w:rsidRPr="00910EF8">
        <w:rPr>
          <w:i/>
          <w:lang w:eastAsia="x-none"/>
        </w:rPr>
        <w:t>: Losses in IoT NTN scenarios</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3429126B" w14:textId="4E302061" w:rsidR="006C53DC" w:rsidRPr="006C53DC" w:rsidRDefault="006C53DC" w:rsidP="006C53DC">
      <w:pPr>
        <w:pStyle w:val="ListParagraph"/>
        <w:numPr>
          <w:ilvl w:val="0"/>
          <w:numId w:val="2"/>
        </w:numPr>
        <w:rPr>
          <w:lang w:val="en-US"/>
        </w:rPr>
      </w:pPr>
      <w:r w:rsidRPr="006C53DC">
        <w:rPr>
          <w:lang w:val="en-US"/>
        </w:rPr>
        <w:t>RP-193235, “New Study WID on NB-IoT/eTMC support</w:t>
      </w:r>
      <w:r w:rsidR="00A47F89">
        <w:rPr>
          <w:lang w:val="en-US"/>
        </w:rPr>
        <w:t xml:space="preserve"> for NTN”, MediaTek, RAN#88-e, J</w:t>
      </w:r>
      <w:r w:rsidRPr="006C53DC">
        <w:rPr>
          <w:lang w:val="en-US"/>
        </w:rPr>
        <w:t>une 2020.</w:t>
      </w:r>
    </w:p>
    <w:p w14:paraId="26B45DF3" w14:textId="77777777" w:rsidR="006C53DC" w:rsidRDefault="006C53DC" w:rsidP="006C53DC">
      <w:pPr>
        <w:pStyle w:val="ListParagraph"/>
        <w:numPr>
          <w:ilvl w:val="0"/>
          <w:numId w:val="2"/>
        </w:numPr>
        <w:rPr>
          <w:lang w:val="en-US"/>
        </w:rPr>
      </w:pPr>
      <w:r w:rsidRPr="006C53DC">
        <w:rPr>
          <w:lang w:val="en-US"/>
        </w:rPr>
        <w:t xml:space="preserve">TR 38.821 “Study on solutions for NR to support non-terrestrial networks” </w:t>
      </w:r>
    </w:p>
    <w:p w14:paraId="3F79564C" w14:textId="441A6C90" w:rsidR="006C53DC" w:rsidRPr="002901C2" w:rsidRDefault="002901C2" w:rsidP="002901C2">
      <w:pPr>
        <w:pStyle w:val="ListParagraph"/>
        <w:numPr>
          <w:ilvl w:val="0"/>
          <w:numId w:val="2"/>
        </w:numPr>
        <w:rPr>
          <w:lang w:val="en-US"/>
        </w:rPr>
      </w:pPr>
      <w:r w:rsidRPr="002901C2">
        <w:rPr>
          <w:lang w:val="en-US"/>
        </w:rPr>
        <w:t xml:space="preserve">R1-2008815, Eutelsat, Inmarsat, Mediatek, Ligado, Thales, Hughes/EchoStar, ESA, Thales, Intelsat, Reference Link-Budget parameters for NB-IoT NTN, RAN1#103e, Nov 2020  </w:t>
      </w:r>
    </w:p>
    <w:p w14:paraId="50EFC95B" w14:textId="4366CE8C" w:rsidR="006C53DC" w:rsidRDefault="00A47F89" w:rsidP="006C53DC">
      <w:pPr>
        <w:pStyle w:val="ListParagraph"/>
        <w:numPr>
          <w:ilvl w:val="0"/>
          <w:numId w:val="2"/>
        </w:numPr>
        <w:rPr>
          <w:lang w:val="en-US"/>
        </w:rPr>
      </w:pPr>
      <w:r>
        <w:rPr>
          <w:lang w:val="en-US"/>
        </w:rPr>
        <w:t>R1</w:t>
      </w:r>
      <w:r w:rsidR="006C53DC">
        <w:rPr>
          <w:lang w:val="en-US"/>
        </w:rPr>
        <w:t>-200</w:t>
      </w:r>
      <w:r>
        <w:rPr>
          <w:lang w:val="en-US"/>
        </w:rPr>
        <w:t>9098</w:t>
      </w:r>
      <w:r w:rsidR="006C53DC">
        <w:rPr>
          <w:lang w:val="en-US"/>
        </w:rPr>
        <w:t xml:space="preserve">, </w:t>
      </w:r>
      <w:r>
        <w:rPr>
          <w:lang w:val="en-US"/>
        </w:rPr>
        <w:t xml:space="preserve">Gatehouse, Sateliot, Discussion on scenarios applicable to </w:t>
      </w:r>
      <w:r w:rsidR="006C53DC" w:rsidRPr="006C53DC">
        <w:rPr>
          <w:lang w:val="en-US"/>
        </w:rPr>
        <w:t>IoT NTN</w:t>
      </w:r>
      <w:r>
        <w:rPr>
          <w:lang w:val="en-US"/>
        </w:rPr>
        <w:t>, RAN1#103</w:t>
      </w:r>
      <w:r w:rsidR="001C6098">
        <w:rPr>
          <w:lang w:val="en-US"/>
        </w:rPr>
        <w:t>e</w:t>
      </w:r>
      <w:r w:rsidR="006C53DC">
        <w:rPr>
          <w:lang w:val="en-US"/>
        </w:rPr>
        <w:t>, Nov 2020.</w:t>
      </w:r>
    </w:p>
    <w:p w14:paraId="0A09F391" w14:textId="4B4C92DF" w:rsidR="00A47F89" w:rsidRPr="00A47F89" w:rsidRDefault="00A47F89" w:rsidP="00A47F89">
      <w:pPr>
        <w:pStyle w:val="ListParagraph"/>
        <w:numPr>
          <w:ilvl w:val="0"/>
          <w:numId w:val="2"/>
        </w:numPr>
        <w:rPr>
          <w:lang w:val="en-US"/>
        </w:rPr>
      </w:pPr>
      <w:r>
        <w:rPr>
          <w:lang w:val="en-US"/>
        </w:rPr>
        <w:t xml:space="preserve">R1-2008868, Eutelsat, </w:t>
      </w:r>
      <w:r w:rsidRPr="00A47F89">
        <w:rPr>
          <w:lang w:val="en-US"/>
        </w:rPr>
        <w:t>Summary #4 of 8.15.1 IoT NTN Scenarios</w:t>
      </w:r>
      <w:r>
        <w:rPr>
          <w:lang w:val="en-US"/>
        </w:rPr>
        <w:t>, RAN1#103e, Nov 2020.</w:t>
      </w:r>
    </w:p>
    <w:p w14:paraId="31A0FFFA" w14:textId="77777777" w:rsidR="00BF5905" w:rsidRPr="00BF5905" w:rsidRDefault="00BF5905" w:rsidP="00BF5905">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9FED2" w14:textId="77777777" w:rsidR="00076AA4" w:rsidRDefault="00076AA4">
      <w:r>
        <w:separator/>
      </w:r>
    </w:p>
  </w:endnote>
  <w:endnote w:type="continuationSeparator" w:id="0">
    <w:p w14:paraId="6E78BA6C" w14:textId="77777777" w:rsidR="00076AA4" w:rsidRDefault="0007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8027" w14:textId="77777777" w:rsidR="00076AA4" w:rsidRDefault="00076AA4">
      <w:r>
        <w:separator/>
      </w:r>
    </w:p>
  </w:footnote>
  <w:footnote w:type="continuationSeparator" w:id="0">
    <w:p w14:paraId="05F99DAC" w14:textId="77777777" w:rsidR="00076AA4" w:rsidRDefault="00076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5"/>
  </w:num>
  <w:num w:numId="4">
    <w:abstractNumId w:val="14"/>
  </w:num>
  <w:num w:numId="5">
    <w:abstractNumId w:val="9"/>
  </w:num>
  <w:num w:numId="6">
    <w:abstractNumId w:val="11"/>
  </w:num>
  <w:num w:numId="7">
    <w:abstractNumId w:val="16"/>
  </w:num>
  <w:num w:numId="8">
    <w:abstractNumId w:val="18"/>
  </w:num>
  <w:num w:numId="9">
    <w:abstractNumId w:val="3"/>
  </w:num>
  <w:num w:numId="10">
    <w:abstractNumId w:val="0"/>
  </w:num>
  <w:num w:numId="11">
    <w:abstractNumId w:val="21"/>
  </w:num>
  <w:num w:numId="12">
    <w:abstractNumId w:val="17"/>
  </w:num>
  <w:num w:numId="13">
    <w:abstractNumId w:val="12"/>
  </w:num>
  <w:num w:numId="14">
    <w:abstractNumId w:val="8"/>
  </w:num>
  <w:num w:numId="15">
    <w:abstractNumId w:val="6"/>
  </w:num>
  <w:num w:numId="16">
    <w:abstractNumId w:val="15"/>
  </w:num>
  <w:num w:numId="17">
    <w:abstractNumId w:val="20"/>
  </w:num>
  <w:num w:numId="18">
    <w:abstractNumId w:val="10"/>
  </w:num>
  <w:num w:numId="19">
    <w:abstractNumId w:val="4"/>
  </w:num>
  <w:num w:numId="20">
    <w:abstractNumId w:val="7"/>
  </w:num>
  <w:num w:numId="21">
    <w:abstractNumId w:val="13"/>
  </w:num>
  <w:num w:numId="22">
    <w:abstractNumId w:val="1"/>
  </w:num>
  <w:num w:numId="2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76AA4"/>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309"/>
    <w:rsid w:val="002F2B29"/>
    <w:rsid w:val="002F300C"/>
    <w:rsid w:val="002F3BD7"/>
    <w:rsid w:val="002F3F42"/>
    <w:rsid w:val="002F4093"/>
    <w:rsid w:val="002F40CC"/>
    <w:rsid w:val="002F428E"/>
    <w:rsid w:val="002F63F6"/>
    <w:rsid w:val="002F7D50"/>
    <w:rsid w:val="00300D2E"/>
    <w:rsid w:val="00301D28"/>
    <w:rsid w:val="003028DA"/>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0697"/>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2AEB"/>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C7"/>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551"/>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88D"/>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2D1"/>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0EF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47F89"/>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3F1"/>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127"/>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1D6"/>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575"/>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B73"/>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C7B1A"/>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2015C21-00CD-4608-917A-34EAF5FC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3592</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7019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128</cp:revision>
  <cp:lastPrinted>2017-11-03T15:53:00Z</cp:lastPrinted>
  <dcterms:created xsi:type="dcterms:W3CDTF">2020-08-03T15:08:00Z</dcterms:created>
  <dcterms:modified xsi:type="dcterms:W3CDTF">2021-01-18T20:24:00Z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